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line="240" w:lineRule="auto"/>
        <w:rPr>
          <w:rFonts w:ascii="Open Sans Light" w:cs="Open Sans Light" w:eastAsia="Open Sans Light" w:hAnsi="Open Sans Light"/>
          <w:b w:val="1"/>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center"/>
        <w:rPr>
          <w:rFonts w:ascii="Open Sans Light" w:cs="Open Sans Light" w:eastAsia="Open Sans Light" w:hAnsi="Open Sans Light"/>
          <w:b w:val="0"/>
          <w:i w:val="1"/>
          <w:smallCaps w:val="0"/>
          <w:strike w:val="0"/>
          <w:color w:val="1f3864"/>
          <w:sz w:val="22"/>
          <w:szCs w:val="22"/>
          <w:highlight w:val="white"/>
          <w:u w:val="none"/>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center"/>
        <w:rPr>
          <w:rFonts w:ascii="Open Sans Light" w:cs="Open Sans Light" w:eastAsia="Open Sans Light" w:hAnsi="Open Sans Light"/>
          <w:b w:val="0"/>
          <w:i w:val="1"/>
          <w:smallCaps w:val="0"/>
          <w:strike w:val="0"/>
          <w:color w:val="1f3864"/>
          <w:sz w:val="22"/>
          <w:szCs w:val="22"/>
          <w:highlight w:val="white"/>
          <w:u w:val="none"/>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center"/>
        <w:rPr>
          <w:rFonts w:ascii="Open Sans Light" w:cs="Open Sans Light" w:eastAsia="Open Sans Light" w:hAnsi="Open Sans Light"/>
          <w:b w:val="1"/>
          <w:i w:val="1"/>
          <w:smallCaps w:val="0"/>
          <w:strike w:val="0"/>
          <w:color w:val="000000"/>
          <w:sz w:val="24"/>
          <w:szCs w:val="24"/>
          <w:highlight w:val="white"/>
          <w:u w:val="none"/>
          <w:vertAlign w:val="baseline"/>
        </w:rPr>
      </w:pPr>
      <w:r w:rsidDel="00000000" w:rsidR="00000000" w:rsidRPr="00000000">
        <w:rPr>
          <w:rFonts w:ascii="Open Sans Light" w:cs="Open Sans Light" w:eastAsia="Open Sans Light" w:hAnsi="Open Sans Light"/>
          <w:b w:val="1"/>
          <w:i w:val="1"/>
          <w:smallCaps w:val="0"/>
          <w:strike w:val="0"/>
          <w:color w:val="000000"/>
          <w:sz w:val="24"/>
          <w:szCs w:val="24"/>
          <w:highlight w:val="white"/>
          <w:u w:val="none"/>
          <w:vertAlign w:val="baseline"/>
          <w:rtl w:val="0"/>
        </w:rPr>
        <w:t xml:space="preserve">El autocuidado puede ayudar a ahorrar hasta 7.2 mil millones de dólares anuales para los sistemas de salud en América Latina y potencia el bienestar general de la población en la región.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center"/>
        <w:rPr>
          <w:rFonts w:ascii="Open Sans Light" w:cs="Open Sans Light" w:eastAsia="Open Sans Light" w:hAnsi="Open Sans Light"/>
          <w:b w:val="0"/>
          <w:i w:val="1"/>
          <w:smallCaps w:val="0"/>
          <w:strike w:val="0"/>
          <w:color w:val="000000"/>
          <w:sz w:val="22"/>
          <w:szCs w:val="22"/>
          <w:highlight w:val="white"/>
          <w:u w:val="none"/>
          <w:vertAlign w:val="baseline"/>
        </w:rPr>
      </w:pPr>
      <w:r w:rsidDel="00000000" w:rsidR="00000000" w:rsidRPr="00000000">
        <w:rPr>
          <w:rFonts w:ascii="Open Sans Light" w:cs="Open Sans Light" w:eastAsia="Open Sans Light" w:hAnsi="Open Sans Light"/>
          <w:b w:val="0"/>
          <w:i w:val="1"/>
          <w:smallCaps w:val="0"/>
          <w:strike w:val="0"/>
          <w:color w:val="000000"/>
          <w:sz w:val="22"/>
          <w:szCs w:val="22"/>
          <w:highlight w:val="white"/>
          <w:u w:val="none"/>
          <w:vertAlign w:val="baseline"/>
          <w:rtl w:val="0"/>
        </w:rPr>
        <w:t xml:space="preserve">Establecer el autocuidado como una estrategia prioritaria de salud habilitaría el potencial económico y social de esta práctica.  La alfabetización en salud es crítica para extender el autocuidado en la región y sus beneficios.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1"/>
          <w:rtl w:val="0"/>
        </w:rPr>
        <w:t xml:space="preserve">Ciudad de México</w:t>
      </w:r>
      <w:r w:rsidDel="00000000" w:rsidR="00000000" w:rsidRPr="00000000">
        <w:rPr>
          <w:rFonts w:ascii="Open Sans" w:cs="Open Sans" w:eastAsia="Open Sans" w:hAnsi="Open Sans"/>
          <w:b w:val="1"/>
          <w:i w:val="0"/>
          <w:smallCaps w:val="0"/>
          <w:strike w:val="0"/>
          <w:color w:val="000000"/>
          <w:sz w:val="22"/>
          <w:szCs w:val="22"/>
          <w:u w:val="none"/>
          <w:vertAlign w:val="baseline"/>
          <w:rtl w:val="0"/>
        </w:rPr>
        <w:t xml:space="preserve">, </w:t>
      </w:r>
      <w:r w:rsidDel="00000000" w:rsidR="00000000" w:rsidRPr="00000000">
        <w:rPr>
          <w:rFonts w:ascii="Open Sans" w:cs="Open Sans" w:eastAsia="Open Sans" w:hAnsi="Open Sans"/>
          <w:b w:val="1"/>
          <w:rtl w:val="0"/>
        </w:rPr>
        <w:t xml:space="preserve">22 de julio</w:t>
      </w:r>
      <w:r w:rsidDel="00000000" w:rsidR="00000000" w:rsidRPr="00000000">
        <w:rPr>
          <w:rFonts w:ascii="Open Sans" w:cs="Open Sans" w:eastAsia="Open Sans" w:hAnsi="Open Sans"/>
          <w:b w:val="1"/>
          <w:i w:val="0"/>
          <w:smallCaps w:val="0"/>
          <w:strike w:val="0"/>
          <w:color w:val="000000"/>
          <w:sz w:val="22"/>
          <w:szCs w:val="22"/>
          <w:u w:val="none"/>
          <w:vertAlign w:val="baseline"/>
          <w:rtl w:val="0"/>
        </w:rPr>
        <w:t xml:space="preserve"> de 2022</w:t>
      </w:r>
      <w:r w:rsidDel="00000000" w:rsidR="00000000" w:rsidRPr="00000000">
        <w:rPr>
          <w:rFonts w:ascii="Open Sans Light" w:cs="Open Sans Light" w:eastAsia="Open Sans Light" w:hAnsi="Open Sans Light"/>
          <w:b w:val="0"/>
          <w:i w:val="0"/>
          <w:smallCaps w:val="0"/>
          <w:strike w:val="0"/>
          <w:color w:val="000000"/>
          <w:sz w:val="22"/>
          <w:szCs w:val="22"/>
          <w:u w:val="none"/>
          <w:vertAlign w:val="baseline"/>
          <w:rtl w:val="0"/>
        </w:rPr>
        <w:t xml:space="preserve">.</w:t>
      </w: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 Según un estudio liderado por la Asociación Latinoamericana de Autocuidado Responsable (ILAR), Latinoamérica tiene la prevalencia más alta de enfermedades crónicas no transmisibles en comparación con otras regiones del mundo, condiciones que son prevenibles a través de medidas de autocuidado de la salud y los estilos de vida saludables.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Se estima que alrededor del 57% de la población adulta de la región (302 millones de habitantes) tiene sobrepeso y el 19% (100.8 millones de personas) padece obesidad. Estas condiciones favorecen el desarrollo de enfermedades crónicas que representan inversiones millonarias de los sistemas de salud para su tratamiento. Además, causan el 30% de mortalidad en la región por enfermedad cardiovascular, diabetes, hipertensión y enfermedad renal crónica</w:t>
      </w:r>
      <w:r w:rsidDel="00000000" w:rsidR="00000000" w:rsidRPr="00000000">
        <w:rPr>
          <w:rFonts w:ascii="Open Sans Light" w:cs="Open Sans Light" w:eastAsia="Open Sans Light" w:hAnsi="Open Sans Light"/>
          <w:b w:val="1"/>
          <w:i w:val="0"/>
          <w:smallCaps w:val="0"/>
          <w:strike w:val="0"/>
          <w:color w:val="000000"/>
          <w:sz w:val="22"/>
          <w:szCs w:val="22"/>
          <w:highlight w:val="white"/>
          <w:u w:val="none"/>
          <w:vertAlign w:val="superscript"/>
        </w:rPr>
        <w:footnoteReference w:customMarkFollows="0" w:id="0"/>
      </w: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Ante este panorama, el autocuidado, definido por la Organización Mundial de Salud (OMS) como “la capacidad de las personas, las familias y las comunidades para promover la salud, prevenir enfermedades, mantener la salud y afrontar enfermedades o discapacidades con o sin la ayuda de un proveedor médico”</w:t>
      </w:r>
      <w:r w:rsidDel="00000000" w:rsidR="00000000" w:rsidRPr="00000000">
        <w:rPr>
          <w:rFonts w:ascii="Open Sans Light" w:cs="Open Sans Light" w:eastAsia="Open Sans Light" w:hAnsi="Open Sans Light"/>
          <w:b w:val="1"/>
          <w:i w:val="0"/>
          <w:smallCaps w:val="0"/>
          <w:strike w:val="0"/>
          <w:color w:val="000000"/>
          <w:sz w:val="22"/>
          <w:szCs w:val="22"/>
          <w:highlight w:val="white"/>
          <w:u w:val="none"/>
          <w:vertAlign w:val="superscript"/>
        </w:rPr>
        <w:footnoteReference w:customMarkFollows="0" w:id="1"/>
      </w: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 es cada vez más relevante en América Latina, especialmente a partir de la pandemia de Covid-19.</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7998"/>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El autocuidado de la salud contribuye a disminuir la duración y severidad de las condiciones que no son graves y aporta beneficios económicos y sociales para las personas, las comunidades y los sistemas de salud. Uno de estos beneficios es la reducción de pérdida de productividad por absentismo.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7998"/>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El 24 de julio de cada año se conmemora el Día Internacional del Autocuidado de la Salud. En esta fecha ILAR y P&amp;G Health se unen con el fin de promover la práctica del autocuidado en</w:t>
      </w:r>
      <w:r w:rsidDel="00000000" w:rsidR="00000000" w:rsidRPr="00000000">
        <w:rPr>
          <w:rFonts w:ascii="Open Sans Light" w:cs="Open Sans Light" w:eastAsia="Open Sans Light" w:hAnsi="Open Sans Light"/>
          <w:b w:val="0"/>
          <w:i w:val="0"/>
          <w:smallCaps w:val="0"/>
          <w:strike w:val="0"/>
          <w:color w:val="000000"/>
          <w:sz w:val="22"/>
          <w:szCs w:val="22"/>
          <w:u w:val="none"/>
          <w:vertAlign w:val="baseline"/>
          <w:rtl w:val="0"/>
        </w:rPr>
        <w:t xml:space="preserve"> </w:t>
      </w:r>
      <w:r w:rsidDel="00000000" w:rsidR="00000000" w:rsidRPr="00000000">
        <w:rPr>
          <w:rFonts w:ascii="Open Sans Light" w:cs="Open Sans Light" w:eastAsia="Open Sans Light" w:hAnsi="Open Sans Light"/>
          <w:rtl w:val="0"/>
        </w:rPr>
        <w:t xml:space="preserve">México</w:t>
      </w: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 la educación sobre el autocuidado de la salud y el acceso a productos de autocuidado como los medicamentos de venta libre (MVL) y los suplementos </w:t>
      </w:r>
      <w:r w:rsidDel="00000000" w:rsidR="00000000" w:rsidRPr="00000000">
        <w:rPr>
          <w:rFonts w:ascii="Open Sans Light" w:cs="Open Sans Light" w:eastAsia="Open Sans Light" w:hAnsi="Open Sans Light"/>
          <w:highlight w:val="white"/>
          <w:rtl w:val="0"/>
        </w:rPr>
        <w:t xml:space="preserve">alimenticios</w:t>
      </w: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 como uno de los pilares del autocuidado.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7998"/>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Es importante encontrar alternativas que ofrezcan acceso universal a la salud, además la sostenibilidad de los sistemas de salud pública.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7998"/>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7998"/>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rtl w:val="0"/>
        </w:rPr>
        <w:t xml:space="preserve">̈En</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P&amp;G Health, la División de Atención Médica de P&amp;G, tenemos el compromiso de seguir trabajando en promover soluciones y productos que ayuden a que las personas tengan vidas más saludables. Es por eso por lo que participamos y apoyamos los esfuerzos de ILAR en fomentar el </w:t>
      </w:r>
      <w:r w:rsidDel="00000000" w:rsidR="00000000" w:rsidRPr="00000000">
        <w:rPr>
          <w:rFonts w:ascii="Open Sans Light" w:cs="Open Sans Light" w:eastAsia="Open Sans Light" w:hAnsi="Open Sans Light"/>
          <w:rtl w:val="0"/>
        </w:rPr>
        <w:t xml:space="preserve">autocuidado</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como el primer paso hacia una vida más </w:t>
      </w:r>
      <w:r w:rsidDel="00000000" w:rsidR="00000000" w:rsidRPr="00000000">
        <w:rPr>
          <w:rFonts w:ascii="Open Sans Light" w:cs="Open Sans Light" w:eastAsia="Open Sans Light" w:hAnsi="Open Sans Light"/>
          <w:rtl w:val="0"/>
        </w:rPr>
        <w:t xml:space="preserve">saludable ̈</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w:t>
      </w:r>
      <w:r w:rsidDel="00000000" w:rsidR="00000000" w:rsidRPr="00000000">
        <w:rPr>
          <w:rFonts w:ascii="Open Sans Light" w:cs="Open Sans Light" w:eastAsia="Open Sans Light" w:hAnsi="Open Sans Light"/>
          <w:rtl w:val="0"/>
        </w:rPr>
        <w:t xml:space="preserve">mencionó</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Jose Antonio Valdez, Senior Vicepresident de P&amp;G Health para América Latina.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7998"/>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Cifras de la región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Según un estudio realizado por ILAR en el año 2021, sobre el </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Impacto de Covid-19 en las prácticas de Autocuidado en América Latina</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el autocuidado demostró ser sumamente relevante para mantener la salud de las personas, hacer frente a enfermedades y síntomas leves y aliviar la carga en los sistemas de atención de salud.</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64"/>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El </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73%</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de las personas encuestadas implementó medidas preventivas como la alimentación saludable y actividad física, y un </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49%</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recurrió al uso de productos de autocuidado, como los MVL, para tratar los síntomas de condiciones no graves y controlar condiciones crónicas.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Los productos de autocuidado son la primera línea de defensa confiable para proveedores de atención médica y pacientes.  El estudio mostró que para el </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91%</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de los latinoamericanos fue fácil acceder a </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MVL</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sin la recomendación de un profesional de la salud. En promedio, </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86%</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afirmó que había suficiente disponibilidad de opciones para estos productos durante la pandemia.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El acceso a información y productos de salud sin tener que movilizarse o consultar a un médico, fue una necesidad primordial y se reflejó en un crecimiento en el uso de canales digitales para consulta y compra de productos de autocuidado. Como referencia el 30% de los encuestados indicó realizar al menos una compra de productos de autocuidado de manera virtual, un número que representa un crecimiento de hasta </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10 veces más</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con respecto a la última encuesta del 2019 para este canal de compra.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Los resultados del estudio ponen en evidencia que la alfabetización en salud y las tecnologías de la comunicación son fundamentales y necesarias para que las personas cuiden de su propia salud y estén informados. </w:t>
      </w: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Adicional</w:t>
      </w: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 a esto, se requiere la disponibilidad a más productos y servicios de salud para seguir extendiendo el autocuidado y aprovechar al máximo sus beneficios sociales y económicos.</w:t>
      </w:r>
    </w:p>
    <w:p w:rsidR="00000000" w:rsidDel="00000000" w:rsidP="00000000" w:rsidRDefault="00000000" w:rsidRPr="00000000" w14:paraId="000000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Open Sans Light" w:cs="Open Sans Light" w:eastAsia="Open Sans Light" w:hAnsi="Open Sans Light"/>
          <w:color w:val="000000"/>
        </w:rPr>
      </w:pPr>
      <w:r w:rsidDel="00000000" w:rsidR="00000000" w:rsidRPr="00000000">
        <w:rPr>
          <w:rtl w:val="0"/>
        </w:rPr>
      </w:r>
    </w:p>
    <w:p w:rsidR="00000000" w:rsidDel="00000000" w:rsidP="00000000" w:rsidRDefault="00000000" w:rsidRPr="00000000" w14:paraId="000000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color w:val="000000"/>
          <w:rtl w:val="0"/>
        </w:rPr>
        <w:t xml:space="preserve">Este año, la Federación Internacional de Autocuidado (GSCF, por sus siglas en inglés) y de la cual ILAR es miembro, presenta el primer </w:t>
      </w:r>
      <w:r w:rsidDel="00000000" w:rsidR="00000000" w:rsidRPr="00000000">
        <w:rPr>
          <w:rFonts w:ascii="Open Sans Light" w:cs="Open Sans Light" w:eastAsia="Open Sans Light" w:hAnsi="Open Sans Light"/>
          <w:b w:val="1"/>
          <w:color w:val="000000"/>
          <w:rtl w:val="0"/>
        </w:rPr>
        <w:t xml:space="preserve">Estudio Global “El Valor Social y Económico del Autocuidado”</w:t>
      </w:r>
      <w:r w:rsidDel="00000000" w:rsidR="00000000" w:rsidRPr="00000000">
        <w:rPr>
          <w:rFonts w:ascii="Open Sans Light" w:cs="Open Sans Light" w:eastAsia="Open Sans Light" w:hAnsi="Open Sans Light"/>
          <w:color w:val="000000"/>
          <w:rtl w:val="0"/>
        </w:rPr>
        <w:t xml:space="preserve"> con datos que permiten conocer el impacto actual del autocuidado a nivel global y regional, incluyendo 155 </w:t>
      </w:r>
      <w:r w:rsidDel="00000000" w:rsidR="00000000" w:rsidRPr="00000000">
        <w:rPr>
          <w:rFonts w:ascii="Open Sans Light" w:cs="Open Sans Light" w:eastAsia="Open Sans Light" w:hAnsi="Open Sans Light"/>
          <w:rtl w:val="0"/>
        </w:rPr>
        <w:t xml:space="preserve">países</w:t>
      </w:r>
      <w:r w:rsidDel="00000000" w:rsidR="00000000" w:rsidRPr="00000000">
        <w:rPr>
          <w:rFonts w:ascii="Open Sans Light" w:cs="Open Sans Light" w:eastAsia="Open Sans Light" w:hAnsi="Open Sans Light"/>
          <w:color w:val="000000"/>
          <w:rtl w:val="0"/>
        </w:rPr>
        <w:t xml:space="preserve">. Este estudio resalta su importancia como práctica para la salud de las personas y para la sostenibildiad económica de los sistemas de atención médica. </w:t>
      </w:r>
    </w:p>
    <w:p w:rsidR="00000000" w:rsidDel="00000000" w:rsidP="00000000" w:rsidRDefault="00000000" w:rsidRPr="00000000" w14:paraId="000000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Open Sans Light" w:cs="Open Sans Light" w:eastAsia="Open Sans Light" w:hAnsi="Open Sans Light"/>
          <w:color w:val="000000"/>
        </w:rPr>
      </w:pPr>
      <w:r w:rsidDel="00000000" w:rsidR="00000000" w:rsidRPr="00000000">
        <w:rPr>
          <w:rtl w:val="0"/>
        </w:rPr>
      </w:r>
    </w:p>
    <w:p w:rsidR="00000000" w:rsidDel="00000000" w:rsidP="00000000" w:rsidRDefault="00000000" w:rsidRPr="00000000" w14:paraId="00000025">
      <w:pPr>
        <w:spacing w:line="240" w:lineRule="auto"/>
        <w:jc w:val="both"/>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color w:val="000000"/>
          <w:rtl w:val="0"/>
        </w:rPr>
        <w:t xml:space="preserve">“</w:t>
      </w:r>
      <w:r w:rsidDel="00000000" w:rsidR="00000000" w:rsidRPr="00000000">
        <w:rPr>
          <w:rFonts w:ascii="Open Sans Light" w:cs="Open Sans Light" w:eastAsia="Open Sans Light" w:hAnsi="Open Sans Light"/>
          <w:i w:val="1"/>
          <w:color w:val="000000"/>
          <w:rtl w:val="0"/>
        </w:rPr>
        <w:t xml:space="preserve">Los resultados del estudio global demuestran claramente los beneficios del autocuidado para las personas, los profesionales de salud </w:t>
      </w:r>
      <w:r w:rsidDel="00000000" w:rsidR="00000000" w:rsidRPr="00000000">
        <w:rPr>
          <w:rFonts w:ascii="Open Sans Light" w:cs="Open Sans Light" w:eastAsia="Open Sans Light" w:hAnsi="Open Sans Light"/>
          <w:i w:val="1"/>
          <w:rtl w:val="0"/>
        </w:rPr>
        <w:t xml:space="preserve">y los servicios</w:t>
      </w:r>
      <w:r w:rsidDel="00000000" w:rsidR="00000000" w:rsidRPr="00000000">
        <w:rPr>
          <w:rFonts w:ascii="Open Sans Light" w:cs="Open Sans Light" w:eastAsia="Open Sans Light" w:hAnsi="Open Sans Light"/>
          <w:i w:val="1"/>
          <w:color w:val="000000"/>
          <w:rtl w:val="0"/>
        </w:rPr>
        <w:t xml:space="preserve"> de salud pública. El hacer del autocuidado una parte integral de los sistemas nacionales representa una valiosa contribución para alcanzar la Cobertura Universal de Salud y el acceso a servicios de calidad, dos objetivos fundamentales definidos como parte de los Objetivos de Desarrollo Sostenible de las Naciones Unidas</w:t>
      </w:r>
      <w:r w:rsidDel="00000000" w:rsidR="00000000" w:rsidRPr="00000000">
        <w:rPr>
          <w:rFonts w:ascii="Open Sans Light" w:cs="Open Sans Light" w:eastAsia="Open Sans Light" w:hAnsi="Open Sans Light"/>
          <w:color w:val="000000"/>
          <w:rtl w:val="0"/>
        </w:rPr>
        <w:t xml:space="preserve">” dijo Judy Stenmark, directora general de la GSCF</w:t>
      </w:r>
    </w:p>
    <w:p w:rsidR="00000000" w:rsidDel="00000000" w:rsidP="00000000" w:rsidRDefault="00000000" w:rsidRPr="00000000" w14:paraId="000000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color w:val="000000"/>
          <w:rtl w:val="0"/>
        </w:rPr>
        <w:t xml:space="preserve">El estudio global de la GSCF establece </w:t>
      </w:r>
      <w:r w:rsidDel="00000000" w:rsidR="00000000" w:rsidRPr="00000000">
        <w:rPr>
          <w:rFonts w:ascii="Open Sans Light" w:cs="Open Sans Light" w:eastAsia="Open Sans Light" w:hAnsi="Open Sans Light"/>
          <w:b w:val="1"/>
          <w:color w:val="000000"/>
          <w:rtl w:val="0"/>
        </w:rPr>
        <w:t xml:space="preserve">tres conceptos</w:t>
      </w:r>
      <w:r w:rsidDel="00000000" w:rsidR="00000000" w:rsidRPr="00000000">
        <w:rPr>
          <w:rFonts w:ascii="Open Sans Light" w:cs="Open Sans Light" w:eastAsia="Open Sans Light" w:hAnsi="Open Sans Light"/>
          <w:color w:val="000000"/>
          <w:rtl w:val="0"/>
        </w:rPr>
        <w:t xml:space="preserve"> </w:t>
      </w:r>
      <w:r w:rsidDel="00000000" w:rsidR="00000000" w:rsidRPr="00000000">
        <w:rPr>
          <w:rFonts w:ascii="Open Sans Light" w:cs="Open Sans Light" w:eastAsia="Open Sans Light" w:hAnsi="Open Sans Light"/>
          <w:b w:val="1"/>
          <w:color w:val="000000"/>
          <w:rtl w:val="0"/>
        </w:rPr>
        <w:t xml:space="preserve">de autocuidado</w:t>
      </w:r>
      <w:r w:rsidDel="00000000" w:rsidR="00000000" w:rsidRPr="00000000">
        <w:rPr>
          <w:rFonts w:ascii="Open Sans Light" w:cs="Open Sans Light" w:eastAsia="Open Sans Light" w:hAnsi="Open Sans Light"/>
          <w:color w:val="000000"/>
          <w:rtl w:val="0"/>
        </w:rPr>
        <w:t xml:space="preserve">, que desde la perspectiva global, responden a las diferencias en los estándares económicos, la infraestructura de atención de salud y las necesidades de las personas:</w:t>
      </w:r>
    </w:p>
    <w:p w:rsidR="00000000" w:rsidDel="00000000" w:rsidP="00000000" w:rsidRDefault="00000000" w:rsidRPr="00000000" w14:paraId="000000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Open Sans Light" w:cs="Open Sans Light" w:eastAsia="Open Sans Light" w:hAnsi="Open Sans Light"/>
          <w:b w:val="1"/>
          <w:color w:val="000000"/>
        </w:rPr>
      </w:pPr>
      <w:r w:rsidDel="00000000" w:rsidR="00000000" w:rsidRPr="00000000">
        <w:rPr>
          <w:rtl w:val="0"/>
        </w:rPr>
      </w:r>
    </w:p>
    <w:p w:rsidR="00000000" w:rsidDel="00000000" w:rsidP="00000000" w:rsidRDefault="00000000" w:rsidRPr="00000000" w14:paraId="00000028">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jc w:val="both"/>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b w:val="1"/>
          <w:color w:val="000000"/>
          <w:rtl w:val="0"/>
        </w:rPr>
        <w:t xml:space="preserve">“Autocuidado como primera opción de tratamiento”.</w:t>
      </w:r>
      <w:r w:rsidDel="00000000" w:rsidR="00000000" w:rsidRPr="00000000">
        <w:rPr>
          <w:rFonts w:ascii="Open Sans Light" w:cs="Open Sans Light" w:eastAsia="Open Sans Light" w:hAnsi="Open Sans Light"/>
          <w:color w:val="000000"/>
          <w:rtl w:val="0"/>
        </w:rPr>
        <w:t xml:space="preserve"> La práctica del autocuidado como primera línea de acción de tratamiento.</w:t>
      </w:r>
    </w:p>
    <w:p w:rsidR="00000000" w:rsidDel="00000000" w:rsidP="00000000" w:rsidRDefault="00000000" w:rsidRPr="00000000" w14:paraId="00000029">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jc w:val="both"/>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b w:val="1"/>
          <w:color w:val="000000"/>
          <w:rtl w:val="0"/>
        </w:rPr>
        <w:t xml:space="preserve">“Autocuidado como única opción tratamiento”. </w:t>
      </w:r>
      <w:r w:rsidDel="00000000" w:rsidR="00000000" w:rsidRPr="00000000">
        <w:rPr>
          <w:rFonts w:ascii="Open Sans Light" w:cs="Open Sans Light" w:eastAsia="Open Sans Light" w:hAnsi="Open Sans Light"/>
          <w:color w:val="000000"/>
          <w:rtl w:val="0"/>
        </w:rPr>
        <w:t xml:space="preserve">Establece al autocuidado como única opción y en lugar de no hacer nada.</w:t>
      </w:r>
    </w:p>
    <w:p w:rsidR="00000000" w:rsidDel="00000000" w:rsidP="00000000" w:rsidRDefault="00000000" w:rsidRPr="00000000" w14:paraId="0000002A">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jc w:val="both"/>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b w:val="1"/>
          <w:color w:val="000000"/>
          <w:rtl w:val="0"/>
        </w:rPr>
        <w:t xml:space="preserve">“Autocuidado como medida de prevención”.</w:t>
      </w:r>
      <w:r w:rsidDel="00000000" w:rsidR="00000000" w:rsidRPr="00000000">
        <w:rPr>
          <w:rFonts w:ascii="Open Sans Light" w:cs="Open Sans Light" w:eastAsia="Open Sans Light" w:hAnsi="Open Sans Light"/>
          <w:color w:val="000000"/>
          <w:rtl w:val="0"/>
        </w:rPr>
        <w:t xml:space="preserve"> Determinado por</w:t>
      </w:r>
      <w:r w:rsidDel="00000000" w:rsidR="00000000" w:rsidRPr="00000000">
        <w:rPr>
          <w:rFonts w:ascii="Open Sans Light" w:cs="Open Sans Light" w:eastAsia="Open Sans Light" w:hAnsi="Open Sans Light"/>
          <w:b w:val="1"/>
          <w:color w:val="000000"/>
          <w:rtl w:val="0"/>
        </w:rPr>
        <w:t xml:space="preserve"> </w:t>
      </w:r>
      <w:r w:rsidDel="00000000" w:rsidR="00000000" w:rsidRPr="00000000">
        <w:rPr>
          <w:rFonts w:ascii="Open Sans Light" w:cs="Open Sans Light" w:eastAsia="Open Sans Light" w:hAnsi="Open Sans Light"/>
          <w:color w:val="000000"/>
          <w:rtl w:val="0"/>
        </w:rPr>
        <w:t xml:space="preserve">comportamientos proactivos y buenos hábitos para cuidar de la salud y prevenir enfermedades.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Los resultados de este estudio para América Latina estiman que los ahorros potenciales generados por el autocuidado representan </w:t>
      </w:r>
      <w:r w:rsidDel="00000000" w:rsidR="00000000" w:rsidRPr="00000000">
        <w:rPr>
          <w:rFonts w:ascii="Open Sans Light" w:cs="Open Sans Light" w:eastAsia="Open Sans Light" w:hAnsi="Open Sans Light"/>
          <w:b w:val="1"/>
          <w:rtl w:val="0"/>
        </w:rPr>
        <w:t xml:space="preserve">US $7.2</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 mil millones</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para los servicios de salud y atención.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24" w:right="0" w:hanging="24"/>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spacing w:after="0" w:line="24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Además de este ahorro, el tratamiento de condiciones simples y no graves en la región genera para los sistemas de salud:</w:t>
      </w:r>
    </w:p>
    <w:p w:rsidR="00000000" w:rsidDel="00000000" w:rsidP="00000000" w:rsidRDefault="00000000" w:rsidRPr="00000000" w14:paraId="0000002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Open Sans Light" w:cs="Open Sans Light" w:eastAsia="Open Sans Light" w:hAnsi="Open Sans Light"/>
          <w:b w:val="1"/>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869 millones de horas </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economizadas</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 para los pacientes.</w:t>
      </w:r>
    </w:p>
    <w:p w:rsidR="00000000" w:rsidDel="00000000" w:rsidP="00000000" w:rsidRDefault="00000000" w:rsidRPr="00000000" w14:paraId="0000003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Open Sans Light" w:cs="Open Sans Light" w:eastAsia="Open Sans Light" w:hAnsi="Open Sans Light"/>
          <w:b w:val="1"/>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122 millones de horas productivas para los profesionales de salud </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economizadas</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1">
      <w:pPr>
        <w:spacing w:after="0" w:line="240" w:lineRule="auto"/>
        <w:rPr>
          <w:rFonts w:ascii="Open Sans Light" w:cs="Open Sans Light" w:eastAsia="Open Sans Light" w:hAnsi="Open Sans Light"/>
          <w:b w:val="1"/>
        </w:rPr>
      </w:pPr>
      <w:r w:rsidDel="00000000" w:rsidR="00000000" w:rsidRPr="00000000">
        <w:rPr>
          <w:rtl w:val="0"/>
        </w:rPr>
      </w:r>
    </w:p>
    <w:p w:rsidR="00000000" w:rsidDel="00000000" w:rsidP="00000000" w:rsidRDefault="00000000" w:rsidRPr="00000000" w14:paraId="00000032">
      <w:pPr>
        <w:spacing w:after="0" w:line="240" w:lineRule="auto"/>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Así mismo, el autocuidado genera ahorros para el sistema económico de la región en general (productividad económica y bienestar social) cuantificados en:</w:t>
      </w:r>
    </w:p>
    <w:p w:rsidR="00000000" w:rsidDel="00000000" w:rsidP="00000000" w:rsidRDefault="00000000" w:rsidRPr="00000000" w14:paraId="0000003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Open Sans Light" w:cs="Open Sans Light" w:eastAsia="Open Sans Light" w:hAnsi="Open Sans Light"/>
          <w:b w:val="1"/>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79 mil millones de USD en productividad y bienestar </w:t>
      </w:r>
      <w:r w:rsidDel="00000000" w:rsidR="00000000" w:rsidRPr="00000000">
        <w:rPr>
          <w:rFonts w:ascii="Open Sans Light" w:cs="Open Sans Light" w:eastAsia="Open Sans Light" w:hAnsi="Open Sans Light"/>
          <w:b w:val="1"/>
          <w:rtl w:val="0"/>
        </w:rPr>
        <w:t xml:space="preserve">para la población</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2,552 millones de días productivos ganados </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por los pacientes al disminuir la duración o severidad de síntomas por enfermedades simples y no graves gestionadas con productos de autocuidado.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24" w:right="0" w:hanging="24"/>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highlight w:val="white"/>
          <w:u w:val="none"/>
          <w:vertAlign w:val="baseline"/>
          <w:rtl w:val="0"/>
        </w:rPr>
        <w:t xml:space="preserve">Conclusiones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Los datos del estudio global demuestran que el autocuidado habilita el derecho de las personas salud al mismo tiempo que impacta positivamente su bienestar social y económico, factores cruciales para el desarrollo sostenible en América Latina.</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12" w:right="0" w:hanging="12"/>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Por eso, para extender la adopción del autocuidado en nuestra región y aprovechar todo su potencial, es necesario:</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26"/>
          <w:tab w:val="left" w:pos="2832"/>
          <w:tab w:val="left" w:pos="3540"/>
          <w:tab w:val="left" w:pos="4248"/>
          <w:tab w:val="left" w:pos="4956"/>
          <w:tab w:val="left" w:pos="5664"/>
          <w:tab w:val="left" w:pos="6372"/>
          <w:tab w:val="left" w:pos="7080"/>
          <w:tab w:val="left" w:pos="7788"/>
          <w:tab w:val="left" w:pos="8496"/>
        </w:tabs>
        <w:spacing w:after="0" w:before="0" w:line="240" w:lineRule="auto"/>
        <w:ind w:left="426" w:right="0" w:hanging="426"/>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Contar con el apoyo de los profesionales de la salud</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(médicos, farmacéuticos, enfermeros y nutricionistas, entre otros) para ampliar el conocimiento y la responsabilidad de todo el equipo de atención sobre las prácticas de autocuidado.  Se propone que los planes de estudio de profesionales de la salud en América Latina aborden el autocuidado e incluyan indicadores de éxito medibles.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 w:val="left" w:pos="2832"/>
          <w:tab w:val="left" w:pos="3540"/>
          <w:tab w:val="left" w:pos="4248"/>
          <w:tab w:val="left" w:pos="4956"/>
          <w:tab w:val="left" w:pos="5664"/>
          <w:tab w:val="left" w:pos="6372"/>
          <w:tab w:val="left" w:pos="7080"/>
          <w:tab w:val="left" w:pos="7788"/>
          <w:tab w:val="left" w:pos="8496"/>
        </w:tabs>
        <w:spacing w:after="0" w:before="0" w:line="240" w:lineRule="auto"/>
        <w:ind w:left="426"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26"/>
          <w:tab w:val="left" w:pos="2832"/>
          <w:tab w:val="left" w:pos="3540"/>
          <w:tab w:val="left" w:pos="4248"/>
          <w:tab w:val="left" w:pos="4956"/>
          <w:tab w:val="left" w:pos="5664"/>
          <w:tab w:val="left" w:pos="6372"/>
          <w:tab w:val="left" w:pos="7080"/>
          <w:tab w:val="left" w:pos="7788"/>
          <w:tab w:val="left" w:pos="8496"/>
        </w:tabs>
        <w:spacing w:after="0" w:before="0" w:line="240" w:lineRule="auto"/>
        <w:ind w:left="426" w:right="0" w:hanging="426"/>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Empoderar a los individuos sobre su propia salud</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a través de mecanismos que fomenten una sólida alfabetización en salud, además de generar mayor disponibilidad y acceso a la información de los productos de autocuidado.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7998"/>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spacing w:after="0" w:line="240" w:lineRule="auto"/>
        <w:ind w:left="426" w:firstLine="0"/>
        <w:jc w:val="both"/>
        <w:rPr>
          <w:rFonts w:ascii="Open Sans Light" w:cs="Open Sans Light" w:eastAsia="Open Sans Light" w:hAnsi="Open Sans Light"/>
          <w:b w:val="1"/>
          <w:color w:val="ff8121"/>
        </w:rPr>
      </w:pPr>
      <w:r w:rsidDel="00000000" w:rsidR="00000000" w:rsidRPr="00000000">
        <w:rPr>
          <w:rFonts w:ascii="Open Sans Light" w:cs="Open Sans Light" w:eastAsia="Open Sans Light" w:hAnsi="Open Sans Light"/>
          <w:color w:val="000000"/>
          <w:rtl w:val="0"/>
        </w:rPr>
        <w:t xml:space="preserve">En el estudio de ILAR sobre el </w:t>
      </w:r>
      <w:r w:rsidDel="00000000" w:rsidR="00000000" w:rsidRPr="00000000">
        <w:rPr>
          <w:rFonts w:ascii="Open Sans Light" w:cs="Open Sans Light" w:eastAsia="Open Sans Light" w:hAnsi="Open Sans Light"/>
          <w:color w:val="000000"/>
          <w:highlight w:val="white"/>
          <w:rtl w:val="0"/>
        </w:rPr>
        <w:t xml:space="preserve">impacto de Covid-19</w:t>
      </w:r>
      <w:r w:rsidDel="00000000" w:rsidR="00000000" w:rsidRPr="00000000">
        <w:rPr>
          <w:rFonts w:ascii="Open Sans Light" w:cs="Open Sans Light" w:eastAsia="Open Sans Light" w:hAnsi="Open Sans Light"/>
          <w:color w:val="000000"/>
          <w:rtl w:val="0"/>
        </w:rPr>
        <w:t xml:space="preserve"> más de la mitad de los encuestados (52%) afirmó que no tiene el nivel de conocimiento adecuado para tomar acciones de autocuidado con confianza.  El consumo responsable y seguro de productos de autocuidado requiere que el usuario esté bien informado, sin embargo, el 91% de los encuestados en Latinoamérica declara que les gustaría recibir más información para tener un mejor cuidado de su salud y autogestionar condiciones simples y no graves y 94% considera importante importante consultar Internet para obtener información sobre sus productos, además de leer la etiqueta.</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7998"/>
        </w:tabs>
        <w:spacing w:after="0" w:before="0" w:line="240" w:lineRule="auto"/>
        <w:ind w:left="426"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7998"/>
        </w:tabs>
        <w:spacing w:after="0" w:before="0" w:line="240" w:lineRule="auto"/>
        <w:ind w:left="426"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La integración de tecnología y herramientas de comunicación, como los códigos de respuesta rápida (QR por sus siglas en inglés), pueden ser útiles para cerrar las brechas actuales y empoderar a la población.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0"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2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426" w:right="0" w:hanging="322"/>
        <w:jc w:val="both"/>
        <w:rPr>
          <w:rFonts w:ascii="Open Sans Light" w:cs="Open Sans Light" w:eastAsia="Open Sans Light" w:hAnsi="Open Sans Light"/>
          <w:b w:val="1"/>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Que los tomadores de decisiones incluyan el autocuidado como una estrategia esencial de salud. </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Las agendas gubernamentales y de políticas públicas en América Latina deben resaltar la importancia que los productos de autocuidado tienen para los sistemas de salud, facilitando canales de acceso para los individuos, así como también asegurando las herramientas de información necesarias para autogestionar condiciones simples y no graves. </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426" w:right="0" w:firstLine="0"/>
        <w:jc w:val="both"/>
        <w:rPr>
          <w:rFonts w:ascii="Open Sans Light" w:cs="Open Sans Light" w:eastAsia="Open Sans Light" w:hAnsi="Open Sans Light"/>
          <w:b w:val="1"/>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Como parte de la estrategia general de salud, el autocuidado puede prevenir la pérdida de </w:t>
      </w: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2,552 millones de días productivos</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anualmente en América Latina, impactando directamente en el PIB de la región. </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720" w:right="0" w:firstLine="0"/>
        <w:jc w:val="both"/>
        <w:rPr>
          <w:rFonts w:ascii="Open Sans Light" w:cs="Open Sans Light" w:eastAsia="Open Sans Light" w:hAnsi="Open Sans Light"/>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426" w:right="0" w:hanging="36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2"/>
          <w:szCs w:val="22"/>
          <w:u w:val="none"/>
          <w:shd w:fill="auto" w:val="clear"/>
          <w:vertAlign w:val="baseline"/>
          <w:rtl w:val="0"/>
        </w:rPr>
        <w:t xml:space="preserve">Crear un entorno regulatorio que favorezca la adopción del autocuidado en América Latina.</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Para que todas estas condiciones se den de manera óptima es necesaria una mayor cooperación técnica y científica entre las agencias reguladoras. La aplicación de procesos de </w:t>
      </w:r>
      <w:r w:rsidDel="00000000" w:rsidR="00000000" w:rsidRPr="00000000">
        <w:rPr>
          <w:rFonts w:ascii="Open Sans Light" w:cs="Open Sans Light" w:eastAsia="Open Sans Light" w:hAnsi="Open Sans Light"/>
          <w:b w:val="0"/>
          <w:i w:val="1"/>
          <w:smallCaps w:val="0"/>
          <w:strike w:val="0"/>
          <w:color w:val="000000"/>
          <w:sz w:val="22"/>
          <w:szCs w:val="22"/>
          <w:u w:val="none"/>
          <w:shd w:fill="auto" w:val="clear"/>
          <w:vertAlign w:val="baseline"/>
          <w:rtl w:val="0"/>
        </w:rPr>
        <w:t xml:space="preserve">reliance</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y de estandarización de requisitos para la ampliación y el acceso seguro a productos de autocuidado son herramientas esenciales para lograr estos objetivos.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426"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40" w:lineRule="auto"/>
        <w:ind w:left="426" w:right="0" w:firstLine="0"/>
        <w:jc w:val="both"/>
        <w:rPr>
          <w:rFonts w:ascii="Open Sans Light" w:cs="Open Sans Light" w:eastAsia="Open Sans Light" w:hAnsi="Open Sans Light"/>
          <w:b w:val="0"/>
          <w:i w:val="0"/>
          <w:smallCaps w:val="0"/>
          <w:strike w:val="0"/>
          <w:color w:val="000000"/>
          <w:sz w:val="22"/>
          <w:szCs w:val="22"/>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Por ejemplo, la aplicación de </w:t>
      </w:r>
      <w:r w:rsidDel="00000000" w:rsidR="00000000" w:rsidRPr="00000000">
        <w:rPr>
          <w:rFonts w:ascii="Open Sans Light" w:cs="Open Sans Light" w:eastAsia="Open Sans Light" w:hAnsi="Open Sans Light"/>
          <w:b w:val="0"/>
          <w:i w:val="1"/>
          <w:smallCaps w:val="0"/>
          <w:strike w:val="0"/>
          <w:color w:val="000000"/>
          <w:sz w:val="22"/>
          <w:szCs w:val="22"/>
          <w:u w:val="none"/>
          <w:shd w:fill="auto" w:val="clear"/>
          <w:vertAlign w:val="baseline"/>
          <w:rtl w:val="0"/>
        </w:rPr>
        <w:t xml:space="preserve">reliance</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 por varias Agencias Regulatorias en el mundo ha demostrado la reducción significativa en los tiempos de evaluación y aprobación de nuevos medicamentos en un 40 % (en promedio) en comparación con los procedimientos nacionales más rápidos</w:t>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superscript"/>
        </w:rPr>
        <w:footnoteReference w:customMarkFollows="0" w:id="2"/>
      </w:r>
      <w:r w:rsidDel="00000000" w:rsidR="00000000" w:rsidRPr="00000000">
        <w:rPr>
          <w:rFonts w:ascii="Open Sans Light" w:cs="Open Sans Light" w:eastAsia="Open Sans Light" w:hAnsi="Open Sans Light"/>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rPr>
          <w:rFonts w:ascii="Open Sans Light" w:cs="Open Sans Light" w:eastAsia="Open Sans Light" w:hAnsi="Open Sans Light"/>
          <w:b w:val="1"/>
          <w:color w:val="000000"/>
        </w:rPr>
      </w:pPr>
      <w:r w:rsidDel="00000000" w:rsidR="00000000" w:rsidRPr="00000000">
        <w:rPr>
          <w:rtl w:val="0"/>
        </w:rPr>
      </w:r>
    </w:p>
    <w:p w:rsidR="00000000" w:rsidDel="00000000" w:rsidP="00000000" w:rsidRDefault="00000000" w:rsidRPr="00000000" w14:paraId="000000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jc w:val="both"/>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color w:val="000000"/>
          <w:rtl w:val="0"/>
        </w:rPr>
        <w:t xml:space="preserve">Es indudable el valor económico y social del autocuidado para América Latina y cómo este, a través del uso de productos de autocuidado como primera o única alternativa de tratamiento, puede impulsar el acceso a la salud en beneficio de las personas, los países y la sociedad en general. </w:t>
      </w:r>
    </w:p>
    <w:p w:rsidR="00000000" w:rsidDel="00000000" w:rsidP="00000000" w:rsidRDefault="00000000" w:rsidRPr="00000000" w14:paraId="000000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jc w:val="both"/>
        <w:rPr>
          <w:rFonts w:ascii="Open Sans Light" w:cs="Open Sans Light" w:eastAsia="Open Sans Light" w:hAnsi="Open Sans Light"/>
          <w:color w:val="000000"/>
        </w:rPr>
      </w:pPr>
      <w:r w:rsidDel="00000000" w:rsidR="00000000" w:rsidRPr="00000000">
        <w:rPr>
          <w:rtl w:val="0"/>
        </w:rPr>
      </w:r>
    </w:p>
    <w:p w:rsidR="00000000" w:rsidDel="00000000" w:rsidP="00000000" w:rsidRDefault="00000000" w:rsidRPr="00000000" w14:paraId="000000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jc w:val="both"/>
        <w:rPr>
          <w:rFonts w:ascii="Open Sans Light" w:cs="Open Sans Light" w:eastAsia="Open Sans Light" w:hAnsi="Open Sans Light"/>
          <w:b w:val="1"/>
          <w:color w:val="000000"/>
        </w:rPr>
      </w:pPr>
      <w:r w:rsidDel="00000000" w:rsidR="00000000" w:rsidRPr="00000000">
        <w:rPr>
          <w:rtl w:val="0"/>
        </w:rPr>
      </w:r>
    </w:p>
    <w:p w:rsidR="00000000" w:rsidDel="00000000" w:rsidP="00000000" w:rsidRDefault="00000000" w:rsidRPr="00000000" w14:paraId="000000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jc w:val="center"/>
        <w:rPr>
          <w:rFonts w:ascii="Open Sans Light" w:cs="Open Sans Light" w:eastAsia="Open Sans Light" w:hAnsi="Open Sans Light"/>
          <w:b w:val="1"/>
          <w:color w:val="000000"/>
        </w:rPr>
      </w:pPr>
      <w:r w:rsidDel="00000000" w:rsidR="00000000" w:rsidRPr="00000000">
        <w:rPr>
          <w:rFonts w:ascii="Open Sans Light" w:cs="Open Sans Light" w:eastAsia="Open Sans Light" w:hAnsi="Open Sans Light"/>
          <w:b w:val="1"/>
          <w:color w:val="000000"/>
          <w:rtl w:val="0"/>
        </w:rPr>
        <w:t xml:space="preserve">¡Autocuidado es salud para todos!</w:t>
      </w:r>
    </w:p>
    <w:p w:rsidR="00000000" w:rsidDel="00000000" w:rsidP="00000000" w:rsidRDefault="00000000" w:rsidRPr="00000000" w14:paraId="00000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jc w:val="center"/>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color w:val="000000"/>
          <w:rtl w:val="0"/>
        </w:rPr>
        <w:t xml:space="preserve">###</w:t>
      </w:r>
    </w:p>
    <w:p w:rsidR="00000000" w:rsidDel="00000000" w:rsidP="00000000" w:rsidRDefault="00000000" w:rsidRPr="00000000" w14:paraId="000000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jc w:val="center"/>
        <w:rPr>
          <w:rFonts w:ascii="Open Sans Light" w:cs="Open Sans Light" w:eastAsia="Open Sans Light" w:hAnsi="Open Sans Light"/>
          <w:color w:val="000000"/>
        </w:rPr>
      </w:pPr>
      <w:r w:rsidDel="00000000" w:rsidR="00000000" w:rsidRPr="00000000">
        <w:rPr>
          <w:rtl w:val="0"/>
        </w:rPr>
      </w:r>
    </w:p>
    <w:p w:rsidR="00000000" w:rsidDel="00000000" w:rsidP="00000000" w:rsidRDefault="00000000" w:rsidRPr="00000000" w14:paraId="000000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rPr>
          <w:rFonts w:ascii="Open Sans Light" w:cs="Open Sans Light" w:eastAsia="Open Sans Light" w:hAnsi="Open Sans Light"/>
          <w:b w:val="1"/>
          <w:color w:val="000000"/>
        </w:rPr>
      </w:pPr>
      <w:r w:rsidDel="00000000" w:rsidR="00000000" w:rsidRPr="00000000">
        <w:rPr>
          <w:rtl w:val="0"/>
        </w:rPr>
      </w:r>
    </w:p>
    <w:p w:rsidR="00000000" w:rsidDel="00000000" w:rsidP="00000000" w:rsidRDefault="00000000" w:rsidRPr="00000000" w14:paraId="00000056">
      <w:pPr>
        <w:spacing w:after="0" w:line="276" w:lineRule="auto"/>
        <w:jc w:val="both"/>
        <w:rPr>
          <w:rFonts w:ascii="Arial" w:cs="Arial" w:eastAsia="Arial" w:hAnsi="Arial"/>
          <w:b w:val="1"/>
        </w:rPr>
      </w:pPr>
      <w:r w:rsidDel="00000000" w:rsidR="00000000" w:rsidRPr="00000000">
        <w:rPr>
          <w:rFonts w:ascii="Arial" w:cs="Arial" w:eastAsia="Arial" w:hAnsi="Arial"/>
          <w:b w:val="1"/>
          <w:rtl w:val="0"/>
        </w:rPr>
        <w:t xml:space="preserve">Acerca de Procter &amp; Gamble </w:t>
      </w:r>
    </w:p>
    <w:p w:rsidR="00000000" w:rsidDel="00000000" w:rsidP="00000000" w:rsidRDefault="00000000" w:rsidRPr="00000000" w14:paraId="00000057">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8">
      <w:pPr>
        <w:spacing w:after="0" w:line="276" w:lineRule="auto"/>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Fundada hace más de 180 años, Procter &amp; Gamble es una empresa mundial líder en productos de limpieza, higiene personal y cuidado de la salud. Hoy es una de las empresas de consumo más grandes del mundo, mejorando la vida diaria de alrededor de 5 mil millones de personas en 180 países a través de marcas como Pantene, Ariel, Head &amp; Shoulders, Gillette, Oral-B, Downy, Naturella, Ace y Vick entre otras. </w:t>
      </w:r>
    </w:p>
    <w:p w:rsidR="00000000" w:rsidDel="00000000" w:rsidP="00000000" w:rsidRDefault="00000000" w:rsidRPr="00000000" w14:paraId="00000059">
      <w:pPr>
        <w:spacing w:after="0" w:line="276" w:lineRule="auto"/>
        <w:jc w:val="both"/>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5A">
      <w:pPr>
        <w:spacing w:after="0" w:line="276" w:lineRule="auto"/>
        <w:jc w:val="both"/>
        <w:rPr>
          <w:rFonts w:ascii="Open Sans Light" w:cs="Open Sans Light" w:eastAsia="Open Sans Light" w:hAnsi="Open Sans Light"/>
          <w:b w:val="1"/>
        </w:rPr>
      </w:pPr>
      <w:r w:rsidDel="00000000" w:rsidR="00000000" w:rsidRPr="00000000">
        <w:rPr>
          <w:rFonts w:ascii="Open Sans Light" w:cs="Open Sans Light" w:eastAsia="Open Sans Light" w:hAnsi="Open Sans Light"/>
          <w:rtl w:val="0"/>
        </w:rPr>
        <w:t xml:space="preserve">Para más información acerca de </w:t>
      </w:r>
      <w:r w:rsidDel="00000000" w:rsidR="00000000" w:rsidRPr="00000000">
        <w:rPr>
          <w:rFonts w:ascii="Open Sans Light" w:cs="Open Sans Light" w:eastAsia="Open Sans Light" w:hAnsi="Open Sans Light"/>
          <w:rtl w:val="0"/>
        </w:rPr>
        <w:t xml:space="preserve">P&amp;G</w:t>
      </w:r>
      <w:r w:rsidDel="00000000" w:rsidR="00000000" w:rsidRPr="00000000">
        <w:rPr>
          <w:rFonts w:ascii="Open Sans Light" w:cs="Open Sans Light" w:eastAsia="Open Sans Light" w:hAnsi="Open Sans Light"/>
          <w:rtl w:val="0"/>
        </w:rPr>
        <w:t xml:space="preserve">, consulta la págin</w:t>
      </w:r>
      <w:r w:rsidDel="00000000" w:rsidR="00000000" w:rsidRPr="00000000">
        <w:rPr>
          <w:rFonts w:ascii="Arial" w:cs="Arial" w:eastAsia="Arial" w:hAnsi="Arial"/>
          <w:rtl w:val="0"/>
        </w:rPr>
        <w:t xml:space="preserve">a</w:t>
      </w:r>
      <w:hyperlink r:id="rId8">
        <w:r w:rsidDel="00000000" w:rsidR="00000000" w:rsidRPr="00000000">
          <w:rPr>
            <w:rFonts w:ascii="Arial" w:cs="Arial" w:eastAsia="Arial" w:hAnsi="Arial"/>
            <w:b w:val="1"/>
            <w:color w:val="454545"/>
            <w:u w:val="single"/>
            <w:rtl w:val="0"/>
          </w:rPr>
          <w:t xml:space="preserve"> </w:t>
        </w:r>
      </w:hyperlink>
      <w:hyperlink r:id="rId9">
        <w:r w:rsidDel="00000000" w:rsidR="00000000" w:rsidRPr="00000000">
          <w:rPr>
            <w:rFonts w:ascii="Arial" w:cs="Arial" w:eastAsia="Arial" w:hAnsi="Arial"/>
            <w:b w:val="1"/>
            <w:color w:val="1155cc"/>
            <w:u w:val="single"/>
            <w:rtl w:val="0"/>
          </w:rPr>
          <w:t xml:space="preserve">https://pg.com.mx </w:t>
        </w:r>
      </w:hyperlink>
      <w:r w:rsidDel="00000000" w:rsidR="00000000" w:rsidRPr="00000000">
        <w:rPr>
          <w:rFonts w:ascii="Open Sans Light" w:cs="Open Sans Light" w:eastAsia="Open Sans Light" w:hAnsi="Open Sans Light"/>
          <w:rtl w:val="0"/>
        </w:rPr>
        <w:t xml:space="preserve"> </w:t>
      </w:r>
      <w:r w:rsidDel="00000000" w:rsidR="00000000" w:rsidRPr="00000000">
        <w:rPr>
          <w:rFonts w:ascii="Open Sans Light" w:cs="Open Sans Light" w:eastAsia="Open Sans Light" w:hAnsi="Open Sans Light"/>
          <w:rtl w:val="0"/>
        </w:rPr>
        <w:t xml:space="preserve">y su sala de</w:t>
      </w:r>
      <w:hyperlink r:id="rId10">
        <w:r w:rsidDel="00000000" w:rsidR="00000000" w:rsidRPr="00000000">
          <w:rPr>
            <w:rFonts w:ascii="Open Sans Light" w:cs="Open Sans Light" w:eastAsia="Open Sans Light" w:hAnsi="Open Sans Light"/>
            <w:rtl w:val="0"/>
          </w:rPr>
          <w:t xml:space="preserve"> </w:t>
        </w:r>
      </w:hyperlink>
      <w:hyperlink r:id="rId11">
        <w:r w:rsidDel="00000000" w:rsidR="00000000" w:rsidRPr="00000000">
          <w:rPr>
            <w:rFonts w:ascii="Arial" w:cs="Arial" w:eastAsia="Arial" w:hAnsi="Arial"/>
            <w:b w:val="1"/>
            <w:color w:val="1155cc"/>
            <w:u w:val="single"/>
            <w:rtl w:val="0"/>
          </w:rPr>
          <w:t xml:space="preserve">prensa</w:t>
        </w:r>
      </w:hyperlink>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color w:val="454545"/>
          <w:rtl w:val="0"/>
        </w:rPr>
        <w:t xml:space="preserve"> </w:t>
      </w:r>
      <w:r w:rsidDel="00000000" w:rsidR="00000000" w:rsidRPr="00000000">
        <w:rPr>
          <w:rFonts w:ascii="Open Sans Light" w:cs="Open Sans Light" w:eastAsia="Open Sans Light" w:hAnsi="Open Sans Light"/>
          <w:rtl w:val="0"/>
        </w:rPr>
        <w:t xml:space="preserve">Visita también</w:t>
      </w:r>
      <w:r w:rsidDel="00000000" w:rsidR="00000000" w:rsidRPr="00000000">
        <w:rPr>
          <w:rFonts w:ascii="Arial" w:cs="Arial" w:eastAsia="Arial" w:hAnsi="Arial"/>
          <w:color w:val="242424"/>
          <w:rtl w:val="0"/>
        </w:rPr>
        <w:t xml:space="preserve">:</w:t>
      </w:r>
      <w:hyperlink r:id="rId12">
        <w:r w:rsidDel="00000000" w:rsidR="00000000" w:rsidRPr="00000000">
          <w:rPr>
            <w:rFonts w:ascii="Arial" w:cs="Arial" w:eastAsia="Arial" w:hAnsi="Arial"/>
            <w:b w:val="1"/>
            <w:color w:val="454545"/>
            <w:rtl w:val="0"/>
          </w:rPr>
          <w:t xml:space="preserve"> </w:t>
        </w:r>
      </w:hyperlink>
      <w:hyperlink r:id="rId13">
        <w:r w:rsidDel="00000000" w:rsidR="00000000" w:rsidRPr="00000000">
          <w:rPr>
            <w:rFonts w:ascii="Arial" w:cs="Arial" w:eastAsia="Arial" w:hAnsi="Arial"/>
            <w:b w:val="1"/>
            <w:color w:val="1155cc"/>
            <w:u w:val="single"/>
            <w:rtl w:val="0"/>
          </w:rPr>
          <w:t xml:space="preserve">Linkedin P&amp;G México</w:t>
        </w:r>
      </w:hyperlink>
      <w:r w:rsidDel="00000000" w:rsidR="00000000" w:rsidRPr="00000000">
        <w:rPr>
          <w:rFonts w:ascii="Arial" w:cs="Arial" w:eastAsia="Arial" w:hAnsi="Arial"/>
          <w:rtl w:val="0"/>
        </w:rPr>
        <w:t xml:space="preserve"> e </w:t>
      </w:r>
      <w:hyperlink r:id="rId14">
        <w:r w:rsidDel="00000000" w:rsidR="00000000" w:rsidRPr="00000000">
          <w:rPr>
            <w:rFonts w:ascii="Arial" w:cs="Arial" w:eastAsia="Arial" w:hAnsi="Arial"/>
            <w:b w:val="1"/>
            <w:color w:val="1155cc"/>
            <w:u w:val="single"/>
            <w:rtl w:val="0"/>
          </w:rPr>
          <w:t xml:space="preserve">Instagram P&amp;G México</w:t>
        </w:r>
      </w:hyperlink>
      <w:r w:rsidDel="00000000" w:rsidR="00000000" w:rsidRPr="00000000">
        <w:rPr>
          <w:rFonts w:ascii="Arial" w:cs="Arial" w:eastAsia="Arial" w:hAnsi="Arial"/>
          <w:b w:val="1"/>
          <w:color w:val="1155cc"/>
          <w:u w:val="single"/>
          <w:rtl w:val="0"/>
        </w:rPr>
        <w:t xml:space="preserve"> </w:t>
      </w:r>
      <w:r w:rsidDel="00000000" w:rsidR="00000000" w:rsidRPr="00000000">
        <w:rPr>
          <w:rtl w:val="0"/>
        </w:rPr>
      </w:r>
    </w:p>
    <w:p w:rsidR="00000000" w:rsidDel="00000000" w:rsidP="00000000" w:rsidRDefault="00000000" w:rsidRPr="00000000" w14:paraId="0000005B">
      <w:pPr>
        <w:spacing w:after="0" w:line="240" w:lineRule="auto"/>
        <w:rPr>
          <w:rFonts w:ascii="Open Sans Light" w:cs="Open Sans Light" w:eastAsia="Open Sans Light" w:hAnsi="Open Sans Light"/>
          <w:b w:val="1"/>
          <w:color w:val="000000"/>
        </w:rPr>
      </w:pPr>
      <w:r w:rsidDel="00000000" w:rsidR="00000000" w:rsidRPr="00000000">
        <w:rPr>
          <w:rtl w:val="0"/>
        </w:rPr>
      </w:r>
    </w:p>
    <w:p w:rsidR="00000000" w:rsidDel="00000000" w:rsidP="00000000" w:rsidRDefault="00000000" w:rsidRPr="00000000" w14:paraId="000000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rPr>
          <w:rFonts w:ascii="Open Sans Light" w:cs="Open Sans Light" w:eastAsia="Open Sans Light" w:hAnsi="Open Sans Light"/>
          <w:b w:val="1"/>
          <w:color w:val="000000"/>
        </w:rPr>
      </w:pPr>
      <w:r w:rsidDel="00000000" w:rsidR="00000000" w:rsidRPr="00000000">
        <w:rPr>
          <w:rFonts w:ascii="Open Sans Light" w:cs="Open Sans Light" w:eastAsia="Open Sans Light" w:hAnsi="Open Sans Light"/>
          <w:b w:val="1"/>
          <w:color w:val="000000"/>
          <w:rtl w:val="0"/>
        </w:rPr>
        <w:t xml:space="preserve">Acerca de ILAR</w:t>
      </w:r>
    </w:p>
    <w:p w:rsidR="00000000" w:rsidDel="00000000" w:rsidP="00000000" w:rsidRDefault="00000000" w:rsidRPr="00000000" w14:paraId="000000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jc w:val="both"/>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color w:val="000000"/>
          <w:rtl w:val="0"/>
        </w:rPr>
        <w:t xml:space="preserve">ILAR es la Asociación Latinoamericana de Autocuidado Responsable, líder en promover el desarrollo del autocuidado responsable como la mejor herramienta para estar y mantenerse saludable, así como de garantizar el acceso a medicamentos de venta libre (OTC). ILAR es miembro de la Federación Global del Autocuidado (GSCF), asociación internacional no gubernamental en relación oficial con la Organización Mundial de la Salud (OMS). Fundada en diciembre de 2001, la Asociación está formada por fabricantes de productos y compañías farmacéuticas líderes en la región, comprometidos con el uso adecuado de medicamentos de venta libre en América Latina. </w:t>
      </w:r>
    </w:p>
    <w:p w:rsidR="00000000" w:rsidDel="00000000" w:rsidP="00000000" w:rsidRDefault="00000000" w:rsidRPr="00000000" w14:paraId="000000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 w:val="left" w:pos="8496"/>
        </w:tabs>
        <w:spacing w:after="0" w:line="240" w:lineRule="auto"/>
        <w:rPr>
          <w:rFonts w:ascii="Open Sans Light" w:cs="Open Sans Light" w:eastAsia="Open Sans Light" w:hAnsi="Open Sans Light"/>
          <w:b w:val="1"/>
          <w:color w:val="000000"/>
        </w:rPr>
      </w:pPr>
      <w:r w:rsidDel="00000000" w:rsidR="00000000" w:rsidRPr="00000000">
        <w:rPr>
          <w:rFonts w:ascii="Open Sans Light" w:cs="Open Sans Light" w:eastAsia="Open Sans Light" w:hAnsi="Open Sans Light"/>
          <w:b w:val="1"/>
          <w:color w:val="000000"/>
          <w:rtl w:val="0"/>
        </w:rPr>
        <w:t xml:space="preserve">www.infoilar.org</w:t>
      </w:r>
    </w:p>
    <w:p w:rsidR="00000000" w:rsidDel="00000000" w:rsidP="00000000" w:rsidRDefault="00000000" w:rsidRPr="00000000" w14:paraId="000000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Calibri" w:cs="Calibri" w:eastAsia="Calibri" w:hAnsi="Calibri"/>
          <w:color w:val="000000"/>
          <w:sz w:val="24"/>
          <w:szCs w:val="24"/>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Symbols"/>
  <w:font w:name="System Font"/>
  <w:font w:name="Open Sa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7638"/>
        <w:tab w:val="right" w:pos="8118"/>
        <w:tab w:val="left" w:pos="8496"/>
      </w:tabs>
      <w:spacing w:after="0" w:before="0" w:line="240" w:lineRule="auto"/>
      <w:ind w:left="0" w:right="360" w:firstLine="0"/>
      <w:jc w:val="center"/>
      <w:rPr>
        <w:rFonts w:ascii="Calibri" w:cs="Calibri" w:eastAsia="Calibri" w:hAnsi="Calibri"/>
        <w:b w:val="0"/>
        <w:i w:val="0"/>
        <w:smallCaps w:val="0"/>
        <w:strike w:val="0"/>
        <w:color w:val="000000"/>
        <w:sz w:val="20"/>
        <w:szCs w:val="20"/>
        <w:u w:val="none"/>
        <w:shd w:fill="auto" w:val="clear"/>
        <w:vertAlign w:val="baseline"/>
      </w:rPr>
    </w:pPr>
    <w:hyperlink r:id="rId1">
      <w:r w:rsidDel="00000000" w:rsidR="00000000" w:rsidRPr="00000000">
        <w:rPr>
          <w:rFonts w:ascii="Calibri" w:cs="Calibri" w:eastAsia="Calibri" w:hAnsi="Calibri"/>
          <w:b w:val="0"/>
          <w:i w:val="0"/>
          <w:smallCaps w:val="0"/>
          <w:strike w:val="0"/>
          <w:color w:val="000099"/>
          <w:sz w:val="20"/>
          <w:szCs w:val="20"/>
          <w:u w:val="single"/>
          <w:shd w:fill="auto" w:val="clear"/>
          <w:vertAlign w:val="baseline"/>
          <w:rtl w:val="0"/>
        </w:rPr>
        <w:t xml:space="preserve">www.infoilar.org</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System Font" w:cs="System Font" w:eastAsia="System Font" w:hAnsi="System Font"/>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7638"/>
        <w:tab w:val="right" w:pos="8118"/>
        <w:tab w:val="left" w:pos="8496"/>
      </w:tabs>
      <w:spacing w:after="0" w:before="0" w:line="240" w:lineRule="auto"/>
      <w:ind w:left="0" w:right="360" w:firstLine="0"/>
      <w:jc w:val="center"/>
      <w:rPr>
        <w:rFonts w:ascii="Calibri" w:cs="Calibri" w:eastAsia="Calibri" w:hAnsi="Calibri"/>
        <w:b w:val="0"/>
        <w:i w:val="0"/>
        <w:smallCaps w:val="0"/>
        <w:strike w:val="0"/>
        <w:color w:val="000000"/>
        <w:sz w:val="20"/>
        <w:szCs w:val="20"/>
        <w:u w:val="none"/>
        <w:shd w:fill="auto" w:val="clear"/>
        <w:vertAlign w:val="baseline"/>
      </w:rPr>
    </w:pPr>
    <w:hyperlink r:id="rId1">
      <w:r w:rsidDel="00000000" w:rsidR="00000000" w:rsidRPr="00000000">
        <w:rPr>
          <w:rFonts w:ascii="Calibri" w:cs="Calibri" w:eastAsia="Calibri" w:hAnsi="Calibri"/>
          <w:b w:val="0"/>
          <w:i w:val="0"/>
          <w:smallCaps w:val="0"/>
          <w:strike w:val="0"/>
          <w:color w:val="000099"/>
          <w:sz w:val="20"/>
          <w:szCs w:val="20"/>
          <w:u w:val="single"/>
          <w:shd w:fill="auto" w:val="clear"/>
          <w:vertAlign w:val="baseline"/>
          <w:rtl w:val="0"/>
        </w:rPr>
        <w:t xml:space="preserve">www.infoilar.org</w:t>
      </w:r>
    </w:hyperlink>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1">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Calibri" w:cs="Calibri" w:eastAsia="Calibri" w:hAnsi="Calibri"/>
          <w:b w:val="1"/>
          <w:sz w:val="24"/>
          <w:szCs w:val="24"/>
          <w:rtl w:val="0"/>
        </w:rPr>
        <w:t xml:space="preserve"> </w:t>
      </w:r>
      <w:r w:rsidDel="00000000" w:rsidR="00000000" w:rsidRPr="00000000">
        <w:rPr>
          <w:rFonts w:ascii="Source Sans Pro" w:cs="Source Sans Pro" w:eastAsia="Source Sans Pro" w:hAnsi="Source Sans Pro"/>
          <w:color w:val="333333"/>
          <w:sz w:val="15"/>
          <w:szCs w:val="15"/>
          <w:rtl w:val="0"/>
        </w:rPr>
        <w:t xml:space="preserve">Obesidad y sobrepeso de la población en América Latina. The Lancet 2022 Guillermo Garcia-Garcia, M.D. Nephrology Service, Hospital Civil de Guadalajara, Mexico. Available from </w:t>
      </w:r>
      <w:hyperlink r:id="rId1">
        <w:r w:rsidDel="00000000" w:rsidR="00000000" w:rsidRPr="00000000">
          <w:rPr>
            <w:rFonts w:ascii="Source Sans Pro" w:cs="Source Sans Pro" w:eastAsia="Source Sans Pro" w:hAnsi="Source Sans Pro"/>
            <w:color w:val="0563c1"/>
            <w:sz w:val="15"/>
            <w:szCs w:val="15"/>
            <w:u w:val="single"/>
            <w:rtl w:val="0"/>
          </w:rPr>
          <w:t xml:space="preserve">https://www.thelancet.com/campaigns/kidney/updates/obesity-and-overweight-populations-in-latin-america</w:t>
        </w:r>
      </w:hyperlink>
      <w:r w:rsidDel="00000000" w:rsidR="00000000" w:rsidRPr="00000000">
        <w:rPr>
          <w:rtl w:val="0"/>
        </w:rPr>
      </w:r>
    </w:p>
  </w:footnote>
  <w:footnote w:id="1">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System Font" w:cs="System Font" w:eastAsia="System Font" w:hAnsi="System Fon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System Font" w:cs="System Font" w:eastAsia="System Font" w:hAnsi="System Font"/>
          <w:b w:val="0"/>
          <w:i w:val="0"/>
          <w:smallCaps w:val="0"/>
          <w:strike w:val="0"/>
          <w:color w:val="000000"/>
          <w:sz w:val="20"/>
          <w:szCs w:val="20"/>
          <w:u w:val="none"/>
          <w:shd w:fill="auto" w:val="clear"/>
          <w:vertAlign w:val="baseline"/>
          <w:rtl w:val="0"/>
        </w:rPr>
        <w:t xml:space="preserve"> </w:t>
      </w:r>
      <w:r w:rsidDel="00000000" w:rsidR="00000000" w:rsidRPr="00000000">
        <w:rPr>
          <w:rFonts w:ascii="Source Sans Pro" w:cs="Source Sans Pro" w:eastAsia="Source Sans Pro" w:hAnsi="Source Sans Pro"/>
          <w:b w:val="0"/>
          <w:i w:val="0"/>
          <w:smallCaps w:val="0"/>
          <w:strike w:val="0"/>
          <w:color w:val="333333"/>
          <w:sz w:val="15"/>
          <w:szCs w:val="15"/>
          <w:u w:val="none"/>
          <w:shd w:fill="auto" w:val="clear"/>
          <w:vertAlign w:val="baseline"/>
          <w:rtl w:val="0"/>
        </w:rPr>
        <w:t xml:space="preserve">Guías paras las intervenciones de autocuidado para la salud y bienestar. OMS, 2021. Anexo 4. </w:t>
      </w:r>
      <w:hyperlink r:id="rId2">
        <w:r w:rsidDel="00000000" w:rsidR="00000000" w:rsidRPr="00000000">
          <w:rPr>
            <w:rFonts w:ascii="Source Sans Pro" w:cs="Source Sans Pro" w:eastAsia="Source Sans Pro" w:hAnsi="Source Sans Pro"/>
            <w:b w:val="0"/>
            <w:i w:val="0"/>
            <w:smallCaps w:val="0"/>
            <w:strike w:val="0"/>
            <w:color w:val="0563c1"/>
            <w:sz w:val="15"/>
            <w:szCs w:val="15"/>
            <w:u w:val="single"/>
            <w:shd w:fill="auto" w:val="clear"/>
            <w:vertAlign w:val="baseline"/>
            <w:rtl w:val="0"/>
          </w:rPr>
          <w:t xml:space="preserve">https://app.magicapp.org/#/guideline/Lr21gL</w:t>
        </w:r>
      </w:hyperlink>
      <w:r w:rsidDel="00000000" w:rsidR="00000000" w:rsidRPr="00000000">
        <w:rPr>
          <w:rFonts w:ascii="Source Sans Pro" w:cs="Source Sans Pro" w:eastAsia="Source Sans Pro" w:hAnsi="Source Sans Pro"/>
          <w:b w:val="0"/>
          <w:i w:val="0"/>
          <w:smallCaps w:val="0"/>
          <w:strike w:val="0"/>
          <w:color w:val="333333"/>
          <w:sz w:val="15"/>
          <w:szCs w:val="15"/>
          <w:u w:val="none"/>
          <w:shd w:fill="auto" w:val="clear"/>
          <w:vertAlign w:val="baseline"/>
          <w:rtl w:val="0"/>
        </w:rPr>
        <w:t xml:space="preserve"> </w:t>
      </w:r>
      <w:r w:rsidDel="00000000" w:rsidR="00000000" w:rsidRPr="00000000">
        <w:rPr>
          <w:rtl w:val="0"/>
        </w:rPr>
      </w:r>
    </w:p>
  </w:footnote>
  <w:footnote w:id="2">
    <w:p w:rsidR="00000000" w:rsidDel="00000000" w:rsidP="00000000" w:rsidRDefault="00000000" w:rsidRPr="00000000" w14:paraId="000000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Calibri" w:cs="Calibri" w:eastAsia="Calibri" w:hAnsi="Calibri"/>
          <w:color w:val="272753"/>
          <w:sz w:val="16"/>
          <w:szCs w:val="16"/>
          <w:u w:val="single"/>
          <w:rtl w:val="0"/>
        </w:rPr>
        <w:t xml:space="preserve">WHO collaborative registration procedure using stringent regulatory authorities’ medicine evaluation: reliance in action? (tandfonline.com)</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System Font" w:cs="System Font" w:eastAsia="System Font" w:hAnsi="System Font"/>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7998"/>
        <w:tab w:val="right" w:pos="8478"/>
        <w:tab w:val="left" w:pos="8496"/>
      </w:tabs>
      <w:spacing w:after="0" w:before="0" w:line="240" w:lineRule="auto"/>
      <w:ind w:left="0" w:right="0" w:firstLine="0"/>
      <w:jc w:val="right"/>
      <w:rPr>
        <w:rFonts w:ascii="System Font" w:cs="System Font" w:eastAsia="System Font" w:hAnsi="System Font"/>
        <w:b w:val="0"/>
        <w:i w:val="0"/>
        <w:smallCaps w:val="0"/>
        <w:strike w:val="0"/>
        <w:color w:val="000000"/>
        <w:sz w:val="22"/>
        <w:szCs w:val="22"/>
        <w:u w:val="none"/>
        <w:shd w:fill="auto" w:val="clear"/>
        <w:vertAlign w:val="baseline"/>
      </w:rPr>
    </w:pPr>
    <w:r w:rsidDel="00000000" w:rsidR="00000000" w:rsidRPr="00000000">
      <w:rPr>
        <w:rFonts w:ascii="System Font" w:cs="System Font" w:eastAsia="System Font" w:hAnsi="System Font"/>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-179069</wp:posOffset>
          </wp:positionH>
          <wp:positionV relativeFrom="page">
            <wp:posOffset>-232458</wp:posOffset>
          </wp:positionV>
          <wp:extent cx="7918450" cy="11052175"/>
          <wp:effectExtent b="0" l="0" r="0" t="0"/>
          <wp:wrapNone/>
          <wp:docPr id="1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918450" cy="11052175"/>
                  </a:xfrm>
                  <a:prstGeom prst="rect"/>
                  <a:ln/>
                </pic:spPr>
              </pic:pic>
            </a:graphicData>
          </a:graphic>
        </wp:anchor>
      </w:drawing>
    </w:r>
    <w:r w:rsidDel="00000000" w:rsidR="00000000" w:rsidRPr="00000000">
      <w:rPr>
        <w:rFonts w:ascii="Century Gothic" w:cs="Century Gothic" w:eastAsia="Century Gothic" w:hAnsi="Century Gothic"/>
        <w:b w:val="0"/>
        <w:i w:val="1"/>
        <w:smallCaps w:val="0"/>
        <w:strike w:val="0"/>
        <w:color w:val="000000"/>
        <w:sz w:val="14"/>
        <w:szCs w:val="14"/>
        <w:u w:val="none"/>
        <w:shd w:fill="auto" w:val="clear"/>
        <w:vertAlign w:val="baseline"/>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52755</wp:posOffset>
          </wp:positionH>
          <wp:positionV relativeFrom="paragraph">
            <wp:posOffset>-132518</wp:posOffset>
          </wp:positionV>
          <wp:extent cx="888023" cy="562415"/>
          <wp:effectExtent b="0" l="0" r="0" t="0"/>
          <wp:wrapSquare wrapText="bothSides" distB="0" distT="0" distL="114300" distR="114300"/>
          <wp:docPr id="1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88023" cy="5624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4209867</wp:posOffset>
          </wp:positionH>
          <wp:positionV relativeFrom="paragraph">
            <wp:posOffset>-150016</wp:posOffset>
          </wp:positionV>
          <wp:extent cx="1097280" cy="450349"/>
          <wp:effectExtent b="0" l="0" r="0" t="0"/>
          <wp:wrapNone/>
          <wp:docPr descr="A picture containing text, clipart&#10;&#10;Description automatically generated" id="13" name="image1.png"/>
          <a:graphic>
            <a:graphicData uri="http://schemas.openxmlformats.org/drawingml/2006/picture">
              <pic:pic>
                <pic:nvPicPr>
                  <pic:cNvPr descr="A picture containing text, clipart&#10;&#10;Description automatically generated" id="0" name="image1.png"/>
                  <pic:cNvPicPr preferRelativeResize="0"/>
                </pic:nvPicPr>
                <pic:blipFill>
                  <a:blip r:embed="rId3"/>
                  <a:srcRect b="0" l="0" r="0" t="0"/>
                  <a:stretch>
                    <a:fillRect/>
                  </a:stretch>
                </pic:blipFill>
                <pic:spPr>
                  <a:xfrm>
                    <a:off x="0" y="0"/>
                    <a:ext cx="1097280" cy="450349"/>
                  </a:xfrm>
                  <a:prstGeom prst="rect"/>
                  <a:ln/>
                </pic:spPr>
              </pic:pic>
            </a:graphicData>
          </a:graphic>
        </wp:anchor>
      </w:drawing>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7998"/>
        <w:tab w:val="right" w:pos="8478"/>
        <w:tab w:val="left" w:pos="849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System Font" w:cs="System Font" w:eastAsia="System Font" w:hAnsi="System Font"/>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6475413</wp:posOffset>
              </wp:positionH>
              <wp:positionV relativeFrom="page">
                <wp:posOffset>10009823</wp:posOffset>
              </wp:positionV>
              <wp:extent cx="126365" cy="174625"/>
              <wp:effectExtent b="0" l="0" r="0" t="0"/>
              <wp:wrapNone/>
              <wp:docPr id="10" name=""/>
              <a:graphic>
                <a:graphicData uri="http://schemas.microsoft.com/office/word/2010/wordprocessingShape">
                  <wps:wsp>
                    <wps:cNvSpPr/>
                    <wps:cNvPr id="3" name="Shape 3"/>
                    <wps:spPr>
                      <a:xfrm>
                        <a:off x="5287580" y="3697450"/>
                        <a:ext cx="116840" cy="165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ystem Font" w:cs="System Font" w:eastAsia="System Font" w:hAnsi="System Font"/>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6475413</wp:posOffset>
              </wp:positionH>
              <wp:positionV relativeFrom="page">
                <wp:posOffset>10009823</wp:posOffset>
              </wp:positionV>
              <wp:extent cx="126365" cy="174625"/>
              <wp:effectExtent b="0" l="0" r="0" t="0"/>
              <wp:wrapNone/>
              <wp:docPr id="10" name="image5.png"/>
              <a:graphic>
                <a:graphicData uri="http://schemas.openxmlformats.org/drawingml/2006/picture">
                  <pic:pic>
                    <pic:nvPicPr>
                      <pic:cNvPr id="0" name="image5.png"/>
                      <pic:cNvPicPr preferRelativeResize="0"/>
                    </pic:nvPicPr>
                    <pic:blipFill>
                      <a:blip r:embed="rId4"/>
                      <a:srcRect/>
                      <a:stretch>
                        <a:fillRect/>
                      </a:stretch>
                    </pic:blipFill>
                    <pic:spPr>
                      <a:xfrm>
                        <a:off x="0" y="0"/>
                        <a:ext cx="126365" cy="174625"/>
                      </a:xfrm>
                      <a:prstGeom prst="rect"/>
                      <a:ln/>
                    </pic:spPr>
                  </pic:pic>
                </a:graphicData>
              </a:graphic>
            </wp:anchor>
          </w:drawing>
        </mc:Fallback>
      </mc:AlternateContent>
    </w:r>
    <w:r w:rsidDel="00000000" w:rsidR="00000000" w:rsidRPr="00000000">
      <w:rPr>
        <w:rFonts w:ascii="System Font" w:cs="System Font" w:eastAsia="System Font" w:hAnsi="System Font"/>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-179069</wp:posOffset>
          </wp:positionH>
          <wp:positionV relativeFrom="page">
            <wp:posOffset>-179704</wp:posOffset>
          </wp:positionV>
          <wp:extent cx="7918450" cy="11052175"/>
          <wp:effectExtent b="0" l="0" r="0" t="0"/>
          <wp:wrapNone/>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918450" cy="1105217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7998"/>
        <w:tab w:val="right" w:pos="8478"/>
        <w:tab w:val="left" w:pos="849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System Font" w:cs="System Font" w:eastAsia="System Font" w:hAnsi="System Font"/>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6475413</wp:posOffset>
              </wp:positionH>
              <wp:positionV relativeFrom="page">
                <wp:posOffset>10009823</wp:posOffset>
              </wp:positionV>
              <wp:extent cx="126365" cy="174625"/>
              <wp:effectExtent b="0" l="0" r="0" t="0"/>
              <wp:wrapNone/>
              <wp:docPr id="9" name=""/>
              <a:graphic>
                <a:graphicData uri="http://schemas.microsoft.com/office/word/2010/wordprocessingShape">
                  <wps:wsp>
                    <wps:cNvSpPr/>
                    <wps:cNvPr id="2" name="Shape 2"/>
                    <wps:spPr>
                      <a:xfrm>
                        <a:off x="5287580" y="3697450"/>
                        <a:ext cx="116840" cy="165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ystem Font" w:cs="System Font" w:eastAsia="System Font" w:hAnsi="System Font"/>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6475413</wp:posOffset>
              </wp:positionH>
              <wp:positionV relativeFrom="page">
                <wp:posOffset>10009823</wp:posOffset>
              </wp:positionV>
              <wp:extent cx="126365" cy="174625"/>
              <wp:effectExtent b="0" l="0" r="0" t="0"/>
              <wp:wrapNone/>
              <wp:docPr id="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6365" cy="174625"/>
                      </a:xfrm>
                      <a:prstGeom prst="rect"/>
                      <a:ln/>
                    </pic:spPr>
                  </pic:pic>
                </a:graphicData>
              </a:graphic>
            </wp:anchor>
          </w:drawing>
        </mc:Fallback>
      </mc:AlternateContent>
    </w:r>
    <w:r w:rsidDel="00000000" w:rsidR="00000000" w:rsidRPr="00000000">
      <w:rPr>
        <w:rFonts w:ascii="System Font" w:cs="System Font" w:eastAsia="System Font" w:hAnsi="System Font"/>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-179069</wp:posOffset>
          </wp:positionH>
          <wp:positionV relativeFrom="page">
            <wp:posOffset>-179704</wp:posOffset>
          </wp:positionV>
          <wp:extent cx="7918450" cy="11052175"/>
          <wp:effectExtent b="0" l="0" r="0" t="0"/>
          <wp:wrapNone/>
          <wp:docPr id="1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918450" cy="11052175"/>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System Font" w:cs="System Font" w:eastAsia="System Font" w:hAnsi="System Fon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ystem Font" w:cs="System Font" w:eastAsia="System Font" w:hAnsi="System Font"/>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60" w:line="259" w:lineRule="auto"/>
    </w:pPr>
    <w:rPr>
      <w:rFonts w:ascii="System Font" w:eastAsia="ヒラギノ角ゴ Pro W3" w:hAnsi="System Font"/>
      <w:color w:val="000000"/>
      <w:sz w:val="22"/>
      <w:szCs w:val="24"/>
      <w:lang w:eastAsia="en-US" w:val="es-ES_tradn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Encabezado1" w:customStyle="1">
    <w:name w:val="Encabezado1"/>
    <w:pPr>
      <w:tabs>
        <w:tab w:val="center" w:pos="4252"/>
        <w:tab w:val="right" w:pos="8504"/>
      </w:tabs>
    </w:pPr>
    <w:rPr>
      <w:rFonts w:ascii="System Font" w:eastAsia="ヒラギノ角ゴ Pro W3" w:hAnsi="System Font"/>
      <w:color w:val="000000"/>
      <w:sz w:val="22"/>
      <w:lang w:eastAsia="es-US" w:val="es-ES_tradnl"/>
    </w:rPr>
  </w:style>
  <w:style w:type="paragraph" w:styleId="Piedepgina1" w:customStyle="1">
    <w:name w:val="Pie de página1"/>
    <w:pPr>
      <w:tabs>
        <w:tab w:val="center" w:pos="4252"/>
        <w:tab w:val="right" w:pos="8504"/>
      </w:tabs>
    </w:pPr>
    <w:rPr>
      <w:rFonts w:ascii="System Font" w:eastAsia="ヒラギノ角ゴ Pro W3" w:hAnsi="System Font"/>
      <w:color w:val="000000"/>
      <w:sz w:val="22"/>
      <w:lang w:eastAsia="es-US" w:val="es-ES_tradnl"/>
    </w:rPr>
  </w:style>
  <w:style w:type="paragraph" w:styleId="p1" w:customStyle="1">
    <w:name w:val="p1"/>
    <w:autoRedefine w:val="1"/>
    <w:rsid w:val="00714F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napToGrid w:val="0"/>
      <w:jc w:val="center"/>
    </w:pPr>
    <w:rPr>
      <w:rFonts w:eastAsia="ヒラギノ角ゴ Pro W3" w:asciiTheme="minorHAnsi" w:cstheme="minorHAnsi" w:hAnsiTheme="minorHAnsi"/>
      <w:i w:val="1"/>
      <w:iCs w:val="1"/>
      <w:color w:val="1f3864"/>
      <w:sz w:val="24"/>
      <w:szCs w:val="24"/>
      <w:shd w:color="auto" w:fill="ffffff" w:val="clear"/>
      <w:lang w:eastAsia="es-US" w:val="es-ES_tradnl"/>
    </w:rPr>
  </w:style>
  <w:style w:type="paragraph" w:styleId="p2" w:customStyle="1">
    <w:name w:val="p2"/>
    <w:autoRedefine w:val="1"/>
    <w:rsid w:val="00B370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8496"/>
      </w:tabs>
      <w:snapToGrid w:val="0"/>
      <w:jc w:val="both"/>
    </w:pPr>
    <w:rPr>
      <w:rFonts w:eastAsia="ヒラギノ角ゴ Pro W3" w:asciiTheme="minorHAnsi" w:cstheme="minorHAnsi" w:hAnsiTheme="minorHAnsi"/>
      <w:sz w:val="24"/>
      <w:szCs w:val="24"/>
      <w:shd w:color="auto" w:fill="ffffff" w:val="clear"/>
      <w:lang w:eastAsia="es-US" w:val="es-ES_tradnl"/>
    </w:rPr>
  </w:style>
  <w:style w:type="paragraph" w:styleId="p6" w:customStyle="1">
    <w:name w:val="p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Pr>
      <w:rFonts w:ascii="System Font" w:eastAsia="ヒラギノ角ゴ Pro W3" w:hAnsi="System Font"/>
      <w:color w:val="000000"/>
      <w:sz w:val="22"/>
      <w:lang w:eastAsia="es-US" w:val="es-ES_tradnl"/>
    </w:rPr>
  </w:style>
  <w:style w:type="paragraph" w:styleId="Prrafodelista1" w:customStyle="1">
    <w:name w:val="Párrafo de lista1"/>
    <w:pPr>
      <w:spacing w:after="160" w:line="259" w:lineRule="auto"/>
      <w:ind w:left="720"/>
    </w:pPr>
    <w:rPr>
      <w:rFonts w:ascii="System Font" w:eastAsia="ヒラギノ角ゴ Pro W3" w:hAnsi="System Font"/>
      <w:color w:val="000000"/>
      <w:sz w:val="22"/>
      <w:lang w:eastAsia="es-US" w:val="it-IT"/>
    </w:rPr>
  </w:style>
  <w:style w:type="character" w:styleId="s1" w:customStyle="1">
    <w:name w:val="s1"/>
    <w:rPr>
      <w:color w:val="000000"/>
      <w:sz w:val="20"/>
    </w:rPr>
  </w:style>
  <w:style w:type="character" w:styleId="apple-converted-space" w:customStyle="1">
    <w:name w:val="apple-converted-space"/>
    <w:rPr>
      <w:color w:val="000000"/>
      <w:sz w:val="20"/>
    </w:rPr>
  </w:style>
  <w:style w:type="paragraph" w:styleId="NormalWeb1" w:customStyle="1">
    <w:name w:val="Normal (Web)1"/>
    <w:pPr>
      <w:spacing w:after="100" w:before="100"/>
    </w:pPr>
    <w:rPr>
      <w:rFonts w:eastAsia="ヒラギノ角ゴ Pro W3"/>
      <w:color w:val="000000"/>
      <w:sz w:val="24"/>
      <w:lang w:eastAsia="es-US" w:val="en-US"/>
    </w:rPr>
  </w:style>
  <w:style w:type="paragraph" w:styleId="p5" w:customStyle="1">
    <w:name w:val="p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Pr>
      <w:rFonts w:ascii="System Font" w:eastAsia="ヒラギノ角ゴ Pro W3" w:hAnsi="System Font"/>
      <w:color w:val="0a59b2"/>
      <w:sz w:val="21"/>
      <w:lang w:eastAsia="es-US" w:val="es-ES_tradnl"/>
    </w:rPr>
  </w:style>
  <w:style w:type="character" w:styleId="Nmerodepgina1" w:customStyle="1">
    <w:name w:val="Número de página1"/>
    <w:rPr>
      <w:color w:val="000000"/>
      <w:sz w:val="22"/>
    </w:rPr>
  </w:style>
  <w:style w:type="paragraph" w:styleId="ListParagraph">
    <w:name w:val="List Paragraph"/>
    <w:basedOn w:val="Normal"/>
    <w:link w:val="ListParagraphChar"/>
    <w:uiPriority w:val="34"/>
    <w:qFormat w:val="1"/>
    <w:rsid w:val="005B42E1"/>
    <w:pPr>
      <w:ind w:left="708"/>
    </w:pPr>
  </w:style>
  <w:style w:type="paragraph" w:styleId="FootnoteText">
    <w:name w:val="footnote text"/>
    <w:basedOn w:val="Normal"/>
    <w:link w:val="FootnoteTextChar"/>
    <w:locked w:val="1"/>
    <w:rsid w:val="00C44F4D"/>
    <w:rPr>
      <w:sz w:val="20"/>
      <w:szCs w:val="20"/>
    </w:rPr>
  </w:style>
  <w:style w:type="character" w:styleId="FootnoteTextChar" w:customStyle="1">
    <w:name w:val="Footnote Text Char"/>
    <w:basedOn w:val="DefaultParagraphFont"/>
    <w:link w:val="FootnoteText"/>
    <w:rsid w:val="00C44F4D"/>
    <w:rPr>
      <w:rFonts w:ascii="System Font" w:eastAsia="ヒラギノ角ゴ Pro W3" w:hAnsi="System Font"/>
      <w:color w:val="000000"/>
      <w:lang w:eastAsia="en-US" w:val="es-ES_tradnl"/>
    </w:rPr>
  </w:style>
  <w:style w:type="character" w:styleId="FootnoteReference">
    <w:name w:val="footnote reference"/>
    <w:basedOn w:val="DefaultParagraphFont"/>
    <w:locked w:val="1"/>
    <w:rsid w:val="00C44F4D"/>
    <w:rPr>
      <w:vertAlign w:val="superscript"/>
    </w:rPr>
  </w:style>
  <w:style w:type="character" w:styleId="Hyperlink">
    <w:name w:val="Hyperlink"/>
    <w:uiPriority w:val="99"/>
    <w:unhideWhenUsed w:val="1"/>
    <w:locked w:val="1"/>
    <w:rsid w:val="00C44F4D"/>
    <w:rPr>
      <w:color w:val="0563c1"/>
      <w:u w:val="single"/>
    </w:rPr>
  </w:style>
  <w:style w:type="character" w:styleId="FollowedHyperlink">
    <w:name w:val="FollowedHyperlink"/>
    <w:basedOn w:val="DefaultParagraphFont"/>
    <w:locked w:val="1"/>
    <w:rsid w:val="00C44F4D"/>
    <w:rPr>
      <w:color w:val="954f72" w:themeColor="followedHyperlink"/>
      <w:u w:val="single"/>
    </w:rPr>
  </w:style>
  <w:style w:type="character" w:styleId="ListParagraphChar" w:customStyle="1">
    <w:name w:val="List Paragraph Char"/>
    <w:link w:val="ListParagraph"/>
    <w:uiPriority w:val="34"/>
    <w:rsid w:val="00AD2096"/>
    <w:rPr>
      <w:rFonts w:ascii="System Font" w:eastAsia="ヒラギノ角ゴ Pro W3" w:hAnsi="System Font"/>
      <w:color w:val="000000"/>
      <w:sz w:val="22"/>
      <w:szCs w:val="24"/>
      <w:lang w:eastAsia="en-US" w:val="es-ES_tradnl"/>
    </w:rPr>
  </w:style>
  <w:style w:type="paragraph" w:styleId="NormalWeb">
    <w:name w:val="Normal (Web)"/>
    <w:basedOn w:val="Normal"/>
    <w:uiPriority w:val="99"/>
    <w:unhideWhenUsed w:val="1"/>
    <w:locked w:val="1"/>
    <w:rsid w:val="00C71ADC"/>
    <w:pPr>
      <w:spacing w:after="100" w:afterAutospacing="1" w:before="100" w:beforeAutospacing="1" w:line="240" w:lineRule="auto"/>
    </w:pPr>
    <w:rPr>
      <w:rFonts w:ascii="Times New Roman" w:eastAsia="Times New Roman" w:hAnsi="Times New Roman"/>
      <w:color w:val="auto"/>
      <w:sz w:val="24"/>
      <w:lang w:val="en-US"/>
    </w:rPr>
  </w:style>
  <w:style w:type="character" w:styleId="UnresolvedMention">
    <w:name w:val="Unresolved Mention"/>
    <w:basedOn w:val="DefaultParagraphFont"/>
    <w:uiPriority w:val="99"/>
    <w:semiHidden w:val="1"/>
    <w:unhideWhenUsed w:val="1"/>
    <w:rsid w:val="000F3858"/>
    <w:rPr>
      <w:color w:val="605e5c"/>
      <w:shd w:color="auto" w:fill="e1dfdd" w:val="clear"/>
    </w:rPr>
  </w:style>
  <w:style w:type="paragraph" w:styleId="Revision">
    <w:name w:val="Revision"/>
    <w:hidden w:val="1"/>
    <w:uiPriority w:val="99"/>
    <w:semiHidden w:val="1"/>
    <w:rsid w:val="00C32C63"/>
    <w:rPr>
      <w:rFonts w:ascii="System Font" w:eastAsia="ヒラギノ角ゴ Pro W3" w:hAnsi="System Font"/>
      <w:color w:val="000000"/>
      <w:sz w:val="22"/>
      <w:szCs w:val="24"/>
      <w:lang w:eastAsia="en-US" w:val="es-ES_tradnl"/>
    </w:rPr>
  </w:style>
  <w:style w:type="character" w:styleId="CommentReference">
    <w:name w:val="annotation reference"/>
    <w:basedOn w:val="DefaultParagraphFont"/>
    <w:locked w:val="1"/>
    <w:rsid w:val="00D17A3C"/>
    <w:rPr>
      <w:sz w:val="16"/>
      <w:szCs w:val="16"/>
    </w:rPr>
  </w:style>
  <w:style w:type="paragraph" w:styleId="CommentText">
    <w:name w:val="annotation text"/>
    <w:basedOn w:val="Normal"/>
    <w:link w:val="CommentTextChar"/>
    <w:locked w:val="1"/>
    <w:rsid w:val="00D17A3C"/>
    <w:pPr>
      <w:spacing w:line="240" w:lineRule="auto"/>
    </w:pPr>
    <w:rPr>
      <w:sz w:val="20"/>
      <w:szCs w:val="20"/>
    </w:rPr>
  </w:style>
  <w:style w:type="character" w:styleId="CommentTextChar" w:customStyle="1">
    <w:name w:val="Comment Text Char"/>
    <w:basedOn w:val="DefaultParagraphFont"/>
    <w:link w:val="CommentText"/>
    <w:rsid w:val="00D17A3C"/>
    <w:rPr>
      <w:rFonts w:ascii="System Font" w:eastAsia="ヒラギノ角ゴ Pro W3" w:hAnsi="System Font"/>
      <w:color w:val="000000"/>
      <w:lang w:eastAsia="en-US" w:val="es-ES_tradnl"/>
    </w:rPr>
  </w:style>
  <w:style w:type="paragraph" w:styleId="CommentSubject">
    <w:name w:val="annotation subject"/>
    <w:basedOn w:val="CommentText"/>
    <w:next w:val="CommentText"/>
    <w:link w:val="CommentSubjectChar"/>
    <w:locked w:val="1"/>
    <w:rsid w:val="00D17A3C"/>
    <w:rPr>
      <w:b w:val="1"/>
      <w:bCs w:val="1"/>
    </w:rPr>
  </w:style>
  <w:style w:type="character" w:styleId="CommentSubjectChar" w:customStyle="1">
    <w:name w:val="Comment Subject Char"/>
    <w:basedOn w:val="CommentTextChar"/>
    <w:link w:val="CommentSubject"/>
    <w:rsid w:val="00D17A3C"/>
    <w:rPr>
      <w:rFonts w:ascii="System Font" w:eastAsia="ヒラギノ角ゴ Pro W3" w:hAnsi="System Font"/>
      <w:b w:val="1"/>
      <w:bCs w:val="1"/>
      <w:color w:val="000000"/>
      <w:lang w:eastAsia="en-US" w:val="es-ES_tradnl"/>
    </w:rPr>
  </w:style>
  <w:style w:type="paragraph" w:styleId="Header">
    <w:name w:val="header"/>
    <w:basedOn w:val="Normal"/>
    <w:link w:val="HeaderChar"/>
    <w:locked w:val="1"/>
    <w:rsid w:val="0017237A"/>
    <w:pPr>
      <w:tabs>
        <w:tab w:val="center" w:pos="4419"/>
        <w:tab w:val="right" w:pos="8838"/>
      </w:tabs>
      <w:spacing w:after="0" w:line="240" w:lineRule="auto"/>
    </w:pPr>
  </w:style>
  <w:style w:type="character" w:styleId="HeaderChar" w:customStyle="1">
    <w:name w:val="Header Char"/>
    <w:basedOn w:val="DefaultParagraphFont"/>
    <w:link w:val="Header"/>
    <w:rsid w:val="0017237A"/>
    <w:rPr>
      <w:rFonts w:ascii="System Font" w:eastAsia="ヒラギノ角ゴ Pro W3" w:hAnsi="System Font"/>
      <w:color w:val="000000"/>
      <w:sz w:val="22"/>
      <w:szCs w:val="24"/>
      <w:lang w:eastAsia="en-US" w:val="es-ES_tradnl"/>
    </w:rPr>
  </w:style>
  <w:style w:type="paragraph" w:styleId="Footer">
    <w:name w:val="footer"/>
    <w:basedOn w:val="Normal"/>
    <w:link w:val="FooterChar"/>
    <w:locked w:val="1"/>
    <w:rsid w:val="0017237A"/>
    <w:pPr>
      <w:tabs>
        <w:tab w:val="center" w:pos="4419"/>
        <w:tab w:val="right" w:pos="8838"/>
      </w:tabs>
      <w:spacing w:after="0" w:line="240" w:lineRule="auto"/>
    </w:pPr>
  </w:style>
  <w:style w:type="character" w:styleId="FooterChar" w:customStyle="1">
    <w:name w:val="Footer Char"/>
    <w:basedOn w:val="DefaultParagraphFont"/>
    <w:link w:val="Footer"/>
    <w:rsid w:val="0017237A"/>
    <w:rPr>
      <w:rFonts w:ascii="System Font" w:eastAsia="ヒラギノ角ゴ Pro W3" w:hAnsi="System Font"/>
      <w:color w:val="000000"/>
      <w:sz w:val="22"/>
      <w:szCs w:val="24"/>
      <w:lang w:eastAsia="en-US" w:val="es-ES_trad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latam.pg.com/sala-de-prensa/" TargetMode="External"/><Relationship Id="rId10" Type="http://schemas.openxmlformats.org/officeDocument/2006/relationships/hyperlink" Target="https://latam.pg.com/sala-de-prensa/" TargetMode="External"/><Relationship Id="rId13" Type="http://schemas.openxmlformats.org/officeDocument/2006/relationships/hyperlink" Target="https://www.linkedin.com/company/procter-and-gamble/" TargetMode="External"/><Relationship Id="rId12" Type="http://schemas.openxmlformats.org/officeDocument/2006/relationships/hyperlink" Target="https://www.linkedin.com/company/procter-and-gamb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us.pg.com/" TargetMode="External"/><Relationship Id="rId15" Type="http://schemas.openxmlformats.org/officeDocument/2006/relationships/header" Target="header1.xml"/><Relationship Id="rId14" Type="http://schemas.openxmlformats.org/officeDocument/2006/relationships/hyperlink" Target="https://www.instagram.com/pgcareersmx/" TargetMode="External"/><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footer" Target="footer3.xml"/><Relationship Id="rId7" Type="http://schemas.openxmlformats.org/officeDocument/2006/relationships/customXml" Target="../customXML/item1.xml"/><Relationship Id="rId8" Type="http://schemas.openxmlformats.org/officeDocument/2006/relationships/hyperlink" Target="https://us.pg.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italic.ttf"/><Relationship Id="rId10" Type="http://schemas.openxmlformats.org/officeDocument/2006/relationships/font" Target="fonts/OpenSans-bold.ttf"/><Relationship Id="rId13" Type="http://schemas.openxmlformats.org/officeDocument/2006/relationships/font" Target="fonts/CenturyGothic-regular.ttf"/><Relationship Id="rId12" Type="http://schemas.openxmlformats.org/officeDocument/2006/relationships/font" Target="fonts/OpenSans-boldItalic.ttf"/><Relationship Id="rId1" Type="http://schemas.openxmlformats.org/officeDocument/2006/relationships/font" Target="fonts/OpenSansLight-regular.ttf"/><Relationship Id="rId2" Type="http://schemas.openxmlformats.org/officeDocument/2006/relationships/font" Target="fonts/OpenSansLight-bold.ttf"/><Relationship Id="rId3" Type="http://schemas.openxmlformats.org/officeDocument/2006/relationships/font" Target="fonts/OpenSansLight-italic.ttf"/><Relationship Id="rId4" Type="http://schemas.openxmlformats.org/officeDocument/2006/relationships/font" Target="fonts/OpenSansLight-boldItalic.ttf"/><Relationship Id="rId9" Type="http://schemas.openxmlformats.org/officeDocument/2006/relationships/font" Target="fonts/OpenSans-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infoilar.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nfoilar.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helancet.com/campaigns/kidney/updates/obesity-and-overweight-populations-in-latin-america" TargetMode="External"/><Relationship Id="rId2" Type="http://schemas.openxmlformats.org/officeDocument/2006/relationships/hyperlink" Target="https://app.magicapp.org/#/guideline/Lr21g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9ArUdlDYtkt6rLil75wSMI9/jA==">AMUW2mV6pWxWdGkEPbAGP5qFpSmSGUIC9GLiB058XcXPX+2EnYTl1vqKQ2b33E57hV+gLlwsV0EYkHjbXM0iFOxoIPElSW0r0Pf1Q12p+YXgGMTAj7eBM/Q=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2022-07-12T16:37:00Z</dcterms:created>
  <dc:creator>Ana Lobos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18e53f-798e-43aa-978d-c3fda1f3a682_Enabled">
    <vt:lpwstr>true</vt:lpwstr>
  </property>
  <property fmtid="{D5CDD505-2E9C-101B-9397-08002B2CF9AE}" pid="3" name="MSIP_Label_a518e53f-798e-43aa-978d-c3fda1f3a682_SetDate">
    <vt:lpwstr>2022-07-12T16:36:54Z</vt:lpwstr>
  </property>
  <property fmtid="{D5CDD505-2E9C-101B-9397-08002B2CF9AE}" pid="4" name="MSIP_Label_a518e53f-798e-43aa-978d-c3fda1f3a682_Method">
    <vt:lpwstr>Privileged</vt:lpwstr>
  </property>
  <property fmtid="{D5CDD505-2E9C-101B-9397-08002B2CF9AE}" pid="5" name="MSIP_Label_a518e53f-798e-43aa-978d-c3fda1f3a682_Name">
    <vt:lpwstr>PG - Internal Use</vt:lpwstr>
  </property>
  <property fmtid="{D5CDD505-2E9C-101B-9397-08002B2CF9AE}" pid="6" name="MSIP_Label_a518e53f-798e-43aa-978d-c3fda1f3a682_SiteId">
    <vt:lpwstr>3596192b-fdf5-4e2c-a6fa-acb706c963d8</vt:lpwstr>
  </property>
  <property fmtid="{D5CDD505-2E9C-101B-9397-08002B2CF9AE}" pid="7" name="MSIP_Label_a518e53f-798e-43aa-978d-c3fda1f3a682_ActionId">
    <vt:lpwstr>dfcaa083-6069-4e7d-913a-5f83438a3bd4</vt:lpwstr>
  </property>
  <property fmtid="{D5CDD505-2E9C-101B-9397-08002B2CF9AE}" pid="8" name="MSIP_Label_a518e53f-798e-43aa-978d-c3fda1f3a682_ContentBits">
    <vt:lpwstr>1</vt:lpwstr>
  </property>
</Properties>
</file>